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00" w:lineRule="auto"/>
        <w:ind w:right="241" w:rightChars="115"/>
        <w:rPr>
          <w:rFonts w:hint="eastAsia" w:ascii="宋体" w:hAnsi="宋体" w:cs="黑体"/>
          <w:b/>
          <w:spacing w:val="3"/>
          <w:kern w:val="0"/>
          <w:sz w:val="24"/>
        </w:rPr>
      </w:pPr>
      <w:bookmarkStart w:id="1" w:name="_GoBack"/>
      <w:bookmarkEnd w:id="1"/>
      <w:r>
        <w:rPr>
          <w:rFonts w:hint="eastAsia" w:ascii="宋体" w:hAnsi="宋体"/>
          <w:b/>
          <w:sz w:val="24"/>
        </w:rPr>
        <w:t>附件1：</w:t>
      </w:r>
      <w:r>
        <w:rPr>
          <w:rFonts w:hint="eastAsia" w:ascii="宋体" w:hAnsi="宋体" w:cs="黑体"/>
          <w:b/>
          <w:spacing w:val="3"/>
          <w:kern w:val="0"/>
          <w:sz w:val="24"/>
        </w:rPr>
        <w:t>资格审查条件</w:t>
      </w:r>
    </w:p>
    <w:p>
      <w:pPr>
        <w:pStyle w:val="2"/>
        <w:rPr>
          <w:lang w:val="en-US" w:eastAsia="zh-CN"/>
        </w:rPr>
      </w:pPr>
    </w:p>
    <w:p>
      <w:pPr>
        <w:spacing w:line="360" w:lineRule="exact"/>
        <w:jc w:val="center"/>
        <w:rPr>
          <w:rStyle w:val="13"/>
          <w:rFonts w:ascii="宋体" w:hAnsi="宋体"/>
          <w:b/>
        </w:rPr>
      </w:pPr>
      <w:r>
        <w:rPr>
          <w:rFonts w:hint="eastAsia" w:ascii="宋体" w:hAnsi="宋体" w:cs="宋体"/>
          <w:b/>
          <w:spacing w:val="1"/>
          <w:kern w:val="0"/>
          <w:szCs w:val="21"/>
        </w:rPr>
        <w:t>附录</w:t>
      </w:r>
      <w:r>
        <w:rPr>
          <w:rFonts w:ascii="宋体" w:hAnsi="宋体" w:cs="宋体"/>
          <w:b/>
          <w:spacing w:val="1"/>
          <w:kern w:val="0"/>
          <w:szCs w:val="21"/>
        </w:rPr>
        <w:t>1</w:t>
      </w:r>
      <w:r>
        <w:rPr>
          <w:rFonts w:hint="eastAsia" w:ascii="宋体" w:hAnsi="宋体" w:cs="宋体"/>
          <w:b/>
          <w:spacing w:val="1"/>
          <w:kern w:val="0"/>
          <w:szCs w:val="21"/>
        </w:rPr>
        <w:t xml:space="preserve">  资格审查条件</w:t>
      </w:r>
      <w:r>
        <w:rPr>
          <w:rFonts w:ascii="宋体" w:hAnsi="宋体" w:cs="宋体"/>
          <w:b/>
          <w:spacing w:val="1"/>
          <w:kern w:val="0"/>
          <w:szCs w:val="21"/>
        </w:rPr>
        <w:t>(</w:t>
      </w:r>
      <w:r>
        <w:rPr>
          <w:rFonts w:hint="eastAsia" w:ascii="宋体" w:hAnsi="宋体" w:cs="宋体"/>
          <w:b/>
          <w:spacing w:val="1"/>
          <w:kern w:val="0"/>
          <w:szCs w:val="21"/>
        </w:rPr>
        <w:t>资质最低条件</w:t>
      </w:r>
      <w:r>
        <w:rPr>
          <w:rFonts w:ascii="宋体" w:hAnsi="宋体" w:cs="宋体"/>
          <w:b/>
          <w:spacing w:val="1"/>
          <w:kern w:val="0"/>
          <w:szCs w:val="21"/>
        </w:rPr>
        <w:t>)</w:t>
      </w:r>
    </w:p>
    <w:tbl>
      <w:tblPr>
        <w:tblStyle w:val="7"/>
        <w:tblW w:w="9517" w:type="dxa"/>
        <w:tblInd w:w="93" w:type="dxa"/>
        <w:tblLayout w:type="fixed"/>
        <w:tblCellMar>
          <w:top w:w="0" w:type="dxa"/>
          <w:left w:w="0" w:type="dxa"/>
          <w:bottom w:w="0" w:type="dxa"/>
          <w:right w:w="0" w:type="dxa"/>
        </w:tblCellMar>
      </w:tblPr>
      <w:tblGrid>
        <w:gridCol w:w="9517"/>
      </w:tblGrid>
      <w:tr>
        <w:tblPrEx>
          <w:tblCellMar>
            <w:top w:w="0" w:type="dxa"/>
            <w:left w:w="0" w:type="dxa"/>
            <w:bottom w:w="0" w:type="dxa"/>
            <w:right w:w="0" w:type="dxa"/>
          </w:tblCellMar>
        </w:tblPrEx>
        <w:trPr>
          <w:trHeight w:val="600" w:hRule="atLeast"/>
        </w:trPr>
        <w:tc>
          <w:tcPr>
            <w:tcW w:w="9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宋体" w:hAnsi="宋体" w:cs="宋体"/>
                <w:b/>
                <w:bCs/>
                <w:kern w:val="0"/>
                <w:szCs w:val="21"/>
              </w:rPr>
              <w:t>资质要求</w:t>
            </w:r>
          </w:p>
        </w:tc>
      </w:tr>
      <w:tr>
        <w:tblPrEx>
          <w:tblCellMar>
            <w:top w:w="0" w:type="dxa"/>
            <w:left w:w="0" w:type="dxa"/>
            <w:bottom w:w="0" w:type="dxa"/>
            <w:right w:w="0" w:type="dxa"/>
          </w:tblCellMar>
        </w:tblPrEx>
        <w:trPr>
          <w:trHeight w:val="1358" w:hRule="atLeast"/>
        </w:trPr>
        <w:tc>
          <w:tcPr>
            <w:tcW w:w="9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firstLine="420" w:firstLineChars="200"/>
              <w:rPr>
                <w:rFonts w:ascii="宋体" w:hAnsi="宋体"/>
                <w:szCs w:val="21"/>
              </w:rPr>
            </w:pPr>
            <w:r>
              <w:rPr>
                <w:rFonts w:hint="eastAsia" w:ascii="宋体" w:hAnsi="宋体"/>
                <w:szCs w:val="21"/>
              </w:rPr>
              <w:t>具有独立法人资格、持有有效的企业营业执照或事业单位法人证书；</w:t>
            </w:r>
          </w:p>
          <w:p>
            <w:pPr>
              <w:spacing w:line="360" w:lineRule="auto"/>
              <w:ind w:firstLine="420" w:firstLineChars="200"/>
            </w:pPr>
            <w:r>
              <w:rPr>
                <w:rFonts w:hint="eastAsia" w:ascii="宋体" w:hAnsi="宋体"/>
                <w:szCs w:val="21"/>
              </w:rPr>
              <w:t>具有交通运输部颁发的公路工程综合甲级试验检测资质证书（独立法人单位下属的非独立法人检测机构具有检测资质的，视为该独立法人单位具有相应资质）和省级及以上技术监督部门颁发的计量认证合格证书。</w:t>
            </w:r>
          </w:p>
        </w:tc>
      </w:tr>
    </w:tbl>
    <w:p>
      <w:pPr>
        <w:autoSpaceDE w:val="0"/>
        <w:autoSpaceDN w:val="0"/>
        <w:spacing w:line="360" w:lineRule="auto"/>
        <w:rPr>
          <w:rFonts w:hint="eastAsia" w:ascii="宋体" w:hAnsi="宋体" w:cs="宋体"/>
          <w:b/>
          <w:spacing w:val="1"/>
          <w:kern w:val="0"/>
          <w:szCs w:val="21"/>
        </w:rPr>
      </w:pPr>
    </w:p>
    <w:p>
      <w:pPr>
        <w:pStyle w:val="2"/>
        <w:rPr>
          <w:lang w:val="en-US" w:eastAsia="zh-CN"/>
        </w:rPr>
      </w:pPr>
    </w:p>
    <w:p>
      <w:pPr>
        <w:autoSpaceDE w:val="0"/>
        <w:autoSpaceDN w:val="0"/>
        <w:spacing w:line="360" w:lineRule="auto"/>
        <w:jc w:val="center"/>
        <w:rPr>
          <w:rFonts w:ascii="宋体" w:hAnsi="宋体" w:cs="宋体"/>
          <w:kern w:val="0"/>
          <w:szCs w:val="21"/>
        </w:rPr>
      </w:pPr>
      <w:r>
        <w:rPr>
          <w:rFonts w:hint="eastAsia" w:ascii="宋体" w:hAnsi="宋体" w:cs="宋体"/>
          <w:b/>
          <w:spacing w:val="1"/>
          <w:kern w:val="0"/>
          <w:szCs w:val="21"/>
        </w:rPr>
        <w:t>附录</w:t>
      </w:r>
      <w:r>
        <w:rPr>
          <w:rFonts w:ascii="宋体" w:hAnsi="宋体" w:cs="宋体"/>
          <w:b/>
          <w:spacing w:val="1"/>
          <w:kern w:val="0"/>
          <w:szCs w:val="21"/>
        </w:rPr>
        <w:t>2</w:t>
      </w:r>
      <w:r>
        <w:rPr>
          <w:rFonts w:hint="eastAsia" w:ascii="宋体" w:hAnsi="宋体" w:cs="宋体"/>
          <w:b/>
          <w:spacing w:val="1"/>
          <w:kern w:val="0"/>
          <w:szCs w:val="21"/>
        </w:rPr>
        <w:t xml:space="preserve">  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业绩最低要求</w:t>
      </w:r>
      <w:r>
        <w:rPr>
          <w:rFonts w:ascii="宋体" w:hAnsi="宋体" w:cs="宋体"/>
          <w:b/>
          <w:kern w:val="0"/>
          <w:szCs w:val="21"/>
        </w:rPr>
        <w:t>)</w:t>
      </w:r>
    </w:p>
    <w:tbl>
      <w:tblPr>
        <w:tblStyle w:val="7"/>
        <w:tblW w:w="9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9522" w:type="dxa"/>
            <w:vAlign w:val="center"/>
          </w:tcPr>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业绩要求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2" w:hRule="atLeast"/>
        </w:trPr>
        <w:tc>
          <w:tcPr>
            <w:tcW w:w="9522" w:type="dxa"/>
            <w:vAlign w:val="center"/>
          </w:tcPr>
          <w:p>
            <w:pPr>
              <w:spacing w:line="360" w:lineRule="auto"/>
              <w:ind w:right="141" w:rightChars="67" w:firstLine="420" w:firstLineChars="200"/>
              <w:jc w:val="left"/>
              <w:rPr>
                <w:rFonts w:ascii="宋体" w:hAnsi="宋体"/>
                <w:szCs w:val="21"/>
              </w:rPr>
            </w:pPr>
            <w:r>
              <w:rPr>
                <w:rFonts w:hint="eastAsia" w:ascii="宋体" w:hAnsi="宋体"/>
                <w:szCs w:val="21"/>
              </w:rPr>
              <w:t>近</w:t>
            </w:r>
            <w:r>
              <w:rPr>
                <w:rFonts w:hint="eastAsia"/>
                <w:szCs w:val="21"/>
              </w:rPr>
              <w:t>3年内（</w:t>
            </w:r>
            <w:r>
              <w:rPr>
                <w:szCs w:val="21"/>
              </w:rPr>
              <w:t>201</w:t>
            </w:r>
            <w:r>
              <w:rPr>
                <w:rFonts w:hint="eastAsia"/>
                <w:szCs w:val="21"/>
              </w:rPr>
              <w:t>9</w:t>
            </w:r>
            <w:r>
              <w:rPr>
                <w:szCs w:val="21"/>
              </w:rPr>
              <w:t>年</w:t>
            </w:r>
            <w:r>
              <w:rPr>
                <w:rFonts w:hint="eastAsia"/>
                <w:szCs w:val="21"/>
              </w:rPr>
              <w:t>10月1日至今</w:t>
            </w:r>
            <w:r>
              <w:rPr>
                <w:szCs w:val="21"/>
              </w:rPr>
              <w:t>,</w:t>
            </w:r>
            <w:r>
              <w:rPr>
                <w:rFonts w:hint="eastAsia"/>
                <w:szCs w:val="21"/>
              </w:rPr>
              <w:t>以</w:t>
            </w:r>
            <w:r>
              <w:rPr>
                <w:rFonts w:hint="eastAsia" w:ascii="宋体" w:hAnsi="宋体"/>
                <w:szCs w:val="21"/>
              </w:rPr>
              <w:t>合同签订</w:t>
            </w:r>
            <w:r>
              <w:rPr>
                <w:rFonts w:hint="eastAsia"/>
                <w:szCs w:val="21"/>
              </w:rPr>
              <w:t>时间为准）至少</w:t>
            </w:r>
            <w:r>
              <w:rPr>
                <w:rFonts w:hint="eastAsia" w:ascii="宋体" w:hAnsi="宋体"/>
                <w:szCs w:val="21"/>
              </w:rPr>
              <w:t>独立承担过1项</w:t>
            </w:r>
            <w:r>
              <w:rPr>
                <w:rFonts w:hint="eastAsia"/>
                <w:kern w:val="0"/>
                <w:szCs w:val="21"/>
              </w:rPr>
              <w:t>高速公路</w:t>
            </w:r>
            <w:r>
              <w:rPr>
                <w:rFonts w:hint="eastAsia" w:ascii="宋体" w:hAnsi="宋体"/>
                <w:szCs w:val="21"/>
              </w:rPr>
              <w:t>（含路面）试验检测项目。</w:t>
            </w:r>
          </w:p>
        </w:tc>
      </w:tr>
    </w:tbl>
    <w:p>
      <w:pPr>
        <w:autoSpaceDE w:val="0"/>
        <w:autoSpaceDN w:val="0"/>
        <w:spacing w:line="360" w:lineRule="auto"/>
        <w:jc w:val="left"/>
        <w:rPr>
          <w:rFonts w:hint="eastAsia" w:ascii="宋体" w:hAnsi="宋体" w:cs="黑体"/>
          <w:b/>
          <w:spacing w:val="1"/>
          <w:kern w:val="0"/>
          <w:szCs w:val="21"/>
        </w:rPr>
      </w:pPr>
    </w:p>
    <w:p>
      <w:pPr>
        <w:pStyle w:val="2"/>
        <w:rPr>
          <w:lang w:val="en-US" w:eastAsia="zh-CN"/>
        </w:rPr>
      </w:pPr>
    </w:p>
    <w:p>
      <w:pPr>
        <w:autoSpaceDE w:val="0"/>
        <w:autoSpaceDN w:val="0"/>
        <w:spacing w:line="360" w:lineRule="auto"/>
        <w:jc w:val="center"/>
        <w:rPr>
          <w:rFonts w:ascii="宋体" w:hAnsi="宋体" w:cs="黑体"/>
          <w:kern w:val="0"/>
          <w:szCs w:val="21"/>
        </w:rPr>
      </w:pPr>
      <w:r>
        <w:rPr>
          <w:rFonts w:hint="eastAsia" w:ascii="宋体" w:hAnsi="宋体" w:cs="黑体"/>
          <w:b/>
          <w:spacing w:val="1"/>
          <w:kern w:val="0"/>
          <w:szCs w:val="21"/>
        </w:rPr>
        <w:t>附录</w:t>
      </w:r>
      <w:r>
        <w:rPr>
          <w:rFonts w:ascii="宋体" w:hAnsi="宋体" w:cs="黑体"/>
          <w:b/>
          <w:spacing w:val="1"/>
          <w:kern w:val="0"/>
          <w:szCs w:val="21"/>
        </w:rPr>
        <w:t>3</w:t>
      </w:r>
      <w:r>
        <w:rPr>
          <w:rFonts w:hint="eastAsia" w:ascii="宋体" w:hAnsi="宋体" w:cs="黑体"/>
          <w:b/>
          <w:spacing w:val="1"/>
          <w:kern w:val="0"/>
          <w:szCs w:val="21"/>
        </w:rPr>
        <w:t xml:space="preserve">  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信誉最低要求</w:t>
      </w:r>
      <w:r>
        <w:rPr>
          <w:rFonts w:ascii="宋体" w:hAnsi="宋体" w:cs="宋体"/>
          <w:b/>
          <w:kern w:val="0"/>
          <w:szCs w:val="21"/>
        </w:rPr>
        <w:t>)</w:t>
      </w:r>
    </w:p>
    <w:tbl>
      <w:tblPr>
        <w:tblStyle w:val="7"/>
        <w:tblW w:w="94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0" w:hRule="atLeast"/>
        </w:trPr>
        <w:tc>
          <w:tcPr>
            <w:tcW w:w="9498" w:type="dxa"/>
            <w:vAlign w:val="center"/>
          </w:tcPr>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信誉要求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9" w:hRule="atLeast"/>
        </w:trPr>
        <w:tc>
          <w:tcPr>
            <w:tcW w:w="9498" w:type="dxa"/>
            <w:vMerge w:val="restart"/>
            <w:vAlign w:val="center"/>
          </w:tcPr>
          <w:p>
            <w:pPr>
              <w:autoSpaceDE w:val="0"/>
              <w:autoSpaceDN w:val="0"/>
              <w:spacing w:line="360" w:lineRule="auto"/>
              <w:ind w:firstLine="420" w:firstLineChars="200"/>
              <w:jc w:val="left"/>
              <w:rPr>
                <w:rFonts w:ascii="宋体" w:hAnsi="宋体"/>
                <w:szCs w:val="21"/>
              </w:rPr>
            </w:pPr>
            <w:r>
              <w:rPr>
                <w:rFonts w:ascii="宋体" w:hAnsi="宋体"/>
                <w:szCs w:val="21"/>
              </w:rPr>
              <w:t>投标人在近</w:t>
            </w:r>
            <w:r>
              <w:rPr>
                <w:rFonts w:hint="eastAsia" w:ascii="宋体" w:hAnsi="宋体"/>
                <w:szCs w:val="21"/>
              </w:rPr>
              <w:t>1</w:t>
            </w:r>
            <w:r>
              <w:rPr>
                <w:rFonts w:ascii="宋体" w:hAnsi="宋体"/>
                <w:szCs w:val="21"/>
              </w:rPr>
              <w:t>年</w:t>
            </w:r>
            <w:r>
              <w:rPr>
                <w:rFonts w:hint="eastAsia" w:ascii="宋体" w:hAnsi="宋体"/>
                <w:szCs w:val="21"/>
              </w:rPr>
              <w:t>中（</w:t>
            </w:r>
            <w:r>
              <w:rPr>
                <w:rFonts w:ascii="宋体" w:hAnsi="宋体"/>
                <w:szCs w:val="21"/>
              </w:rPr>
              <w:t>202</w:t>
            </w:r>
            <w:r>
              <w:rPr>
                <w:rFonts w:hint="eastAsia" w:ascii="宋体" w:hAnsi="宋体"/>
                <w:szCs w:val="21"/>
              </w:rPr>
              <w:t>1</w:t>
            </w:r>
            <w:r>
              <w:rPr>
                <w:rFonts w:ascii="宋体" w:hAnsi="宋体"/>
                <w:szCs w:val="21"/>
              </w:rPr>
              <w:t>年</w:t>
            </w:r>
            <w:r>
              <w:rPr>
                <w:rFonts w:hint="eastAsia" w:ascii="宋体" w:hAnsi="宋体"/>
                <w:szCs w:val="21"/>
              </w:rPr>
              <w:t>10月1日</w:t>
            </w:r>
            <w:r>
              <w:rPr>
                <w:rFonts w:ascii="宋体" w:hAnsi="宋体"/>
                <w:szCs w:val="21"/>
              </w:rPr>
              <w:t>至今</w:t>
            </w:r>
            <w:r>
              <w:rPr>
                <w:rFonts w:hint="eastAsia" w:ascii="宋体" w:hAnsi="宋体"/>
                <w:szCs w:val="21"/>
              </w:rPr>
              <w:t>）不曾在高速公路项目竣（交）工检测合同中违约而被驱逐或因投标人自身的原因而使竣（交）工检测合同被解除。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9" w:hRule="atLeast"/>
        </w:trPr>
        <w:tc>
          <w:tcPr>
            <w:tcW w:w="9498" w:type="dxa"/>
            <w:vMerge w:val="continue"/>
            <w:vAlign w:val="center"/>
          </w:tcPr>
          <w:p>
            <w:pPr>
              <w:autoSpaceDE w:val="0"/>
              <w:autoSpaceDN w:val="0"/>
              <w:spacing w:line="360" w:lineRule="auto"/>
              <w:jc w:val="left"/>
              <w:rPr>
                <w:rFonts w:ascii="宋体" w:hAnsi="宋体"/>
                <w:szCs w:val="21"/>
              </w:rPr>
            </w:pPr>
          </w:p>
        </w:tc>
      </w:tr>
    </w:tbl>
    <w:p>
      <w:pPr>
        <w:autoSpaceDE w:val="0"/>
        <w:autoSpaceDN w:val="0"/>
        <w:spacing w:line="360" w:lineRule="auto"/>
        <w:jc w:val="left"/>
        <w:rPr>
          <w:rFonts w:hint="eastAsia" w:ascii="宋体" w:hAnsi="宋体" w:cs="宋体"/>
          <w:b/>
          <w:kern w:val="0"/>
          <w:szCs w:val="21"/>
        </w:rPr>
      </w:pPr>
    </w:p>
    <w:p>
      <w:pPr>
        <w:pStyle w:val="2"/>
        <w:rPr>
          <w:lang w:val="en-US" w:eastAsia="zh-CN"/>
        </w:rPr>
      </w:pPr>
    </w:p>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附录</w:t>
      </w:r>
      <w:r>
        <w:rPr>
          <w:rFonts w:ascii="宋体" w:hAnsi="宋体" w:cs="宋体"/>
          <w:b/>
          <w:kern w:val="0"/>
          <w:szCs w:val="21"/>
        </w:rPr>
        <w:t xml:space="preserve">4 </w:t>
      </w:r>
      <w:r>
        <w:rPr>
          <w:rFonts w:hint="eastAsia" w:ascii="宋体" w:hAnsi="宋体" w:cs="宋体"/>
          <w:b/>
          <w:kern w:val="0"/>
          <w:szCs w:val="21"/>
        </w:rPr>
        <w:t xml:space="preserve"> 资格审查条件</w:t>
      </w:r>
      <w:r>
        <w:rPr>
          <w:rFonts w:ascii="宋体" w:hAnsi="宋体" w:cs="宋体"/>
          <w:b/>
          <w:kern w:val="0"/>
          <w:szCs w:val="21"/>
        </w:rPr>
        <w:t>(</w:t>
      </w:r>
      <w:r>
        <w:rPr>
          <w:rFonts w:hint="eastAsia" w:ascii="宋体" w:hAnsi="宋体" w:cs="宋体"/>
          <w:b/>
          <w:kern w:val="0"/>
          <w:szCs w:val="21"/>
        </w:rPr>
        <w:t>主要人员最低要求</w:t>
      </w:r>
      <w:r>
        <w:rPr>
          <w:rFonts w:ascii="宋体" w:hAnsi="宋体" w:cs="宋体"/>
          <w:b/>
          <w:kern w:val="0"/>
          <w:szCs w:val="21"/>
        </w:rPr>
        <w:t>)</w:t>
      </w: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18"/>
        <w:gridCol w:w="5758"/>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blHeader/>
        </w:trPr>
        <w:tc>
          <w:tcPr>
            <w:tcW w:w="1315" w:type="dxa"/>
            <w:vAlign w:val="center"/>
          </w:tcPr>
          <w:p>
            <w:pPr>
              <w:spacing w:line="360" w:lineRule="auto"/>
              <w:jc w:val="center"/>
              <w:rPr>
                <w:rFonts w:ascii="宋体" w:hAnsi="宋体"/>
                <w:szCs w:val="21"/>
              </w:rPr>
            </w:pPr>
            <w:r>
              <w:rPr>
                <w:rFonts w:hint="eastAsia" w:ascii="宋体" w:hAnsi="宋体"/>
                <w:szCs w:val="21"/>
              </w:rPr>
              <w:t>人 员</w:t>
            </w:r>
          </w:p>
        </w:tc>
        <w:tc>
          <w:tcPr>
            <w:tcW w:w="718" w:type="dxa"/>
            <w:vAlign w:val="center"/>
          </w:tcPr>
          <w:p>
            <w:pPr>
              <w:spacing w:line="360" w:lineRule="auto"/>
              <w:jc w:val="left"/>
              <w:rPr>
                <w:rFonts w:ascii="宋体" w:hAnsi="宋体"/>
                <w:szCs w:val="21"/>
              </w:rPr>
            </w:pPr>
            <w:r>
              <w:rPr>
                <w:rFonts w:hint="eastAsia" w:ascii="宋体" w:hAnsi="宋体"/>
                <w:szCs w:val="21"/>
              </w:rPr>
              <w:t>数量</w:t>
            </w:r>
          </w:p>
        </w:tc>
        <w:tc>
          <w:tcPr>
            <w:tcW w:w="5758" w:type="dxa"/>
            <w:vAlign w:val="center"/>
          </w:tcPr>
          <w:p>
            <w:pPr>
              <w:spacing w:line="360" w:lineRule="auto"/>
              <w:jc w:val="center"/>
              <w:rPr>
                <w:rFonts w:ascii="宋体" w:hAnsi="宋体"/>
                <w:szCs w:val="21"/>
              </w:rPr>
            </w:pPr>
            <w:r>
              <w:rPr>
                <w:rFonts w:hint="eastAsia" w:ascii="宋体" w:hAnsi="宋体"/>
                <w:szCs w:val="21"/>
              </w:rPr>
              <w:t>资 格 标 准</w:t>
            </w:r>
          </w:p>
        </w:tc>
        <w:tc>
          <w:tcPr>
            <w:tcW w:w="1707" w:type="dxa"/>
            <w:vAlign w:val="center"/>
          </w:tcPr>
          <w:p>
            <w:pPr>
              <w:spacing w:line="360" w:lineRule="auto"/>
              <w:jc w:val="center"/>
              <w:rPr>
                <w:rFonts w:ascii="宋体" w:hAnsi="宋体"/>
                <w:szCs w:val="21"/>
              </w:rPr>
            </w:pPr>
            <w:r>
              <w:rPr>
                <w:rFonts w:hint="eastAsia" w:ascii="宋体" w:hAnsi="宋体"/>
                <w:szCs w:val="21"/>
              </w:rPr>
              <w:t>在岗</w:t>
            </w:r>
            <w:r>
              <w:rPr>
                <w:rFonts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1315" w:type="dxa"/>
            <w:vAlign w:val="center"/>
          </w:tcPr>
          <w:p>
            <w:pPr>
              <w:spacing w:line="360" w:lineRule="exact"/>
              <w:jc w:val="center"/>
              <w:rPr>
                <w:rFonts w:ascii="宋体" w:hAnsi="宋体"/>
                <w:szCs w:val="21"/>
              </w:rPr>
            </w:pPr>
            <w:r>
              <w:rPr>
                <w:rFonts w:hint="eastAsia" w:ascii="宋体" w:hAnsi="宋体"/>
                <w:szCs w:val="21"/>
              </w:rPr>
              <w:t>项目负责人</w:t>
            </w:r>
          </w:p>
        </w:tc>
        <w:tc>
          <w:tcPr>
            <w:tcW w:w="718" w:type="dxa"/>
            <w:vAlign w:val="center"/>
          </w:tcPr>
          <w:p>
            <w:pPr>
              <w:spacing w:line="360" w:lineRule="exact"/>
              <w:jc w:val="center"/>
              <w:rPr>
                <w:rFonts w:ascii="宋体" w:hAnsi="宋体"/>
              </w:rPr>
            </w:pPr>
            <w:r>
              <w:rPr>
                <w:rFonts w:hint="eastAsia" w:ascii="宋体" w:hAnsi="宋体"/>
              </w:rPr>
              <w:t>1</w:t>
            </w:r>
          </w:p>
        </w:tc>
        <w:tc>
          <w:tcPr>
            <w:tcW w:w="5758" w:type="dxa"/>
            <w:vAlign w:val="center"/>
          </w:tcPr>
          <w:p>
            <w:pPr>
              <w:spacing w:line="360" w:lineRule="exact"/>
              <w:rPr>
                <w:rFonts w:ascii="宋体" w:hAnsi="宋体"/>
              </w:rPr>
            </w:pPr>
            <w:r>
              <w:rPr>
                <w:rFonts w:hint="eastAsia" w:ascii="宋体" w:hAnsi="宋体"/>
                <w:szCs w:val="21"/>
              </w:rPr>
              <w:t>高级工程师，具有交通运输主管部门颁发的公路工程试验检测工程师证书或公路水运工程试验检测师证书，公路工程试验检测工程师证书或公路水运工程试验检测师证书登记单位须与投标人单位名称一致；近3年内(2019年10月1日至今，以合同签订时间为准）担任过1条</w:t>
            </w:r>
            <w:r>
              <w:rPr>
                <w:rFonts w:hint="eastAsia"/>
                <w:kern w:val="0"/>
                <w:szCs w:val="21"/>
              </w:rPr>
              <w:t>高速公路</w:t>
            </w:r>
            <w:r>
              <w:rPr>
                <w:rFonts w:hint="eastAsia" w:ascii="宋体" w:hAnsi="宋体"/>
                <w:szCs w:val="21"/>
              </w:rPr>
              <w:t>（含路面）试验检测项目的项目负责人或检测负责人。</w:t>
            </w:r>
          </w:p>
        </w:tc>
        <w:tc>
          <w:tcPr>
            <w:tcW w:w="1707" w:type="dxa"/>
            <w:vAlign w:val="center"/>
          </w:tcPr>
          <w:p>
            <w:pPr>
              <w:spacing w:line="360" w:lineRule="auto"/>
              <w:jc w:val="left"/>
              <w:rPr>
                <w:rFonts w:ascii="宋体" w:hAnsi="宋体"/>
                <w:szCs w:val="21"/>
              </w:rPr>
            </w:pPr>
            <w:r>
              <w:rPr>
                <w:rFonts w:ascii="宋体" w:hAnsi="宋体"/>
                <w:szCs w:val="21"/>
              </w:rPr>
              <w:t>指目前未在其他项目上任职，或虽在其他项目上任职但承诺本项目中标后能够从该项目撤离</w:t>
            </w:r>
          </w:p>
        </w:tc>
      </w:tr>
    </w:tbl>
    <w:p>
      <w:pPr>
        <w:autoSpaceDE w:val="0"/>
        <w:autoSpaceDN w:val="0"/>
        <w:adjustRightInd w:val="0"/>
        <w:spacing w:line="336" w:lineRule="exact"/>
        <w:jc w:val="left"/>
        <w:rPr>
          <w:rFonts w:ascii="宋体" w:hAnsi="宋体" w:cs="黑体"/>
          <w:spacing w:val="1"/>
          <w:kern w:val="0"/>
          <w:sz w:val="36"/>
          <w:szCs w:val="36"/>
        </w:rPr>
      </w:pPr>
      <w:r>
        <w:rPr>
          <w:rFonts w:ascii="宋体" w:hAnsi="宋体"/>
          <w:sz w:val="24"/>
        </w:rPr>
        <w:br w:type="page"/>
      </w:r>
      <w:r>
        <w:rPr>
          <w:rFonts w:hint="eastAsia" w:ascii="宋体" w:hAnsi="宋体"/>
          <w:sz w:val="24"/>
        </w:rPr>
        <w:t>附件</w:t>
      </w:r>
      <w:r>
        <w:rPr>
          <w:rFonts w:ascii="宋体" w:hAnsi="宋体"/>
          <w:sz w:val="24"/>
        </w:rPr>
        <w:t>2</w:t>
      </w:r>
      <w:r>
        <w:rPr>
          <w:rFonts w:hint="eastAsia" w:ascii="宋体" w:hAnsi="宋体"/>
          <w:sz w:val="24"/>
        </w:rPr>
        <w:t>：评标办法</w:t>
      </w:r>
    </w:p>
    <w:p>
      <w:pPr>
        <w:autoSpaceDE w:val="0"/>
        <w:autoSpaceDN w:val="0"/>
        <w:adjustRightInd w:val="0"/>
        <w:spacing w:line="336" w:lineRule="exact"/>
        <w:jc w:val="center"/>
        <w:rPr>
          <w:rFonts w:ascii="宋体" w:hAnsi="宋体"/>
          <w:b/>
          <w:sz w:val="24"/>
        </w:rPr>
      </w:pPr>
      <w:r>
        <w:rPr>
          <w:rFonts w:hint="eastAsia" w:ascii="宋体" w:hAnsi="宋体"/>
          <w:b/>
          <w:sz w:val="24"/>
        </w:rPr>
        <w:t>评标办法前附表</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0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0" w:type="dxa"/>
            <w:vAlign w:val="center"/>
          </w:tcPr>
          <w:p>
            <w:pPr>
              <w:spacing w:line="360" w:lineRule="exact"/>
              <w:jc w:val="center"/>
              <w:rPr>
                <w:rFonts w:ascii="宋体" w:hAnsi="宋体" w:cs="宋体"/>
                <w:b/>
                <w:szCs w:val="21"/>
              </w:rPr>
            </w:pPr>
            <w:r>
              <w:rPr>
                <w:rFonts w:hint="eastAsia" w:ascii="宋体" w:hAnsi="宋体" w:cs="宋体"/>
                <w:b/>
                <w:szCs w:val="21"/>
              </w:rPr>
              <w:t>条款号</w:t>
            </w:r>
          </w:p>
        </w:tc>
        <w:tc>
          <w:tcPr>
            <w:tcW w:w="1201" w:type="dxa"/>
            <w:vAlign w:val="center"/>
          </w:tcPr>
          <w:p>
            <w:pPr>
              <w:spacing w:line="360" w:lineRule="exact"/>
              <w:jc w:val="center"/>
              <w:rPr>
                <w:rFonts w:ascii="宋体" w:hAnsi="宋体" w:cs="宋体"/>
                <w:b/>
                <w:szCs w:val="21"/>
              </w:rPr>
            </w:pPr>
            <w:r>
              <w:rPr>
                <w:rFonts w:hint="eastAsia" w:ascii="宋体" w:hAnsi="宋体" w:cs="宋体"/>
                <w:b/>
                <w:szCs w:val="21"/>
              </w:rPr>
              <w:t>条款名称</w:t>
            </w:r>
          </w:p>
        </w:tc>
        <w:tc>
          <w:tcPr>
            <w:tcW w:w="6849" w:type="dxa"/>
            <w:vAlign w:val="center"/>
          </w:tcPr>
          <w:p>
            <w:pPr>
              <w:spacing w:line="360" w:lineRule="exact"/>
              <w:jc w:val="center"/>
              <w:rPr>
                <w:rFonts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1010"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201" w:type="dxa"/>
            <w:vAlign w:val="center"/>
          </w:tcPr>
          <w:p>
            <w:pPr>
              <w:spacing w:line="360" w:lineRule="exact"/>
              <w:jc w:val="center"/>
              <w:rPr>
                <w:rFonts w:ascii="宋体" w:hAnsi="宋体" w:cs="宋体"/>
                <w:szCs w:val="21"/>
              </w:rPr>
            </w:pPr>
            <w:r>
              <w:rPr>
                <w:rFonts w:hint="eastAsia" w:ascii="宋体" w:hAnsi="宋体" w:cs="宋体"/>
                <w:szCs w:val="21"/>
              </w:rPr>
              <w:t>评标办法</w:t>
            </w:r>
          </w:p>
        </w:tc>
        <w:tc>
          <w:tcPr>
            <w:tcW w:w="6849" w:type="dxa"/>
            <w:vAlign w:val="center"/>
          </w:tcPr>
          <w:p>
            <w:pPr>
              <w:spacing w:line="360" w:lineRule="exact"/>
            </w:pPr>
            <w:r>
              <w:rPr>
                <w:rFonts w:hint="eastAsia"/>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360" w:lineRule="exact"/>
            </w:pPr>
            <w:r>
              <w:rPr>
                <w:rFonts w:hint="eastAsia"/>
              </w:rPr>
              <w:t>（1）评标价低的投标人优先；</w:t>
            </w:r>
          </w:p>
          <w:p>
            <w:pPr>
              <w:spacing w:line="360" w:lineRule="exact"/>
            </w:pPr>
            <w:r>
              <w:rPr>
                <w:rFonts w:hint="eastAsia"/>
              </w:rPr>
              <w:t>（2）</w:t>
            </w:r>
            <w:r>
              <w:t>技术建议书得分较高的投标人优先</w:t>
            </w:r>
            <w:r>
              <w:rPr>
                <w:rFonts w:hint="eastAsia"/>
              </w:rPr>
              <w:t>；</w:t>
            </w:r>
          </w:p>
          <w:p>
            <w:pPr>
              <w:spacing w:line="360" w:lineRule="exact"/>
            </w:pPr>
            <w:r>
              <w:rPr>
                <w:rFonts w:hint="eastAsia"/>
              </w:rPr>
              <w:t>（3）投标文件中满足附录2资格审查条件</w:t>
            </w:r>
            <w:r>
              <w:t>(</w:t>
            </w:r>
            <w:r>
              <w:rPr>
                <w:rFonts w:hint="eastAsia"/>
              </w:rPr>
              <w:t>业绩最低要求</w:t>
            </w:r>
            <w:r>
              <w:t>)</w:t>
            </w:r>
            <w:r>
              <w:rPr>
                <w:rFonts w:hint="eastAsia"/>
              </w:rPr>
              <w:t xml:space="preserve"> 的业绩累计金额高的优先。</w:t>
            </w:r>
          </w:p>
          <w:p>
            <w:pPr>
              <w:pStyle w:val="2"/>
              <w:rPr>
                <w:rFonts w:ascii="Calibri" w:hAnsi="Calibri"/>
                <w:lang w:val="en-US" w:eastAsia="zh-CN"/>
              </w:rPr>
            </w:pPr>
            <w:r>
              <w:rPr>
                <w:rFonts w:hint="eastAsia"/>
                <w:sz w:val="21"/>
                <w:szCs w:val="24"/>
                <w:lang w:val="en-US" w:eastAsia="zh-CN"/>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rPr>
            </w:pPr>
            <w:r>
              <w:rPr>
                <w:rFonts w:ascii="宋体" w:hAnsi="宋体" w:cs="宋体"/>
                <w:szCs w:val="21"/>
              </w:rPr>
              <w:t>2.1.1</w:t>
            </w:r>
          </w:p>
          <w:p>
            <w:pPr>
              <w:spacing w:line="360" w:lineRule="exact"/>
              <w:jc w:val="center"/>
              <w:rPr>
                <w:rFonts w:ascii="宋体" w:hAnsi="宋体" w:cs="宋体"/>
                <w:szCs w:val="21"/>
              </w:rPr>
            </w:pPr>
            <w:r>
              <w:rPr>
                <w:rFonts w:ascii="宋体" w:hAnsi="宋体" w:cs="宋体"/>
                <w:szCs w:val="21"/>
              </w:rPr>
              <w:t>2.1.3</w:t>
            </w:r>
          </w:p>
        </w:tc>
        <w:tc>
          <w:tcPr>
            <w:tcW w:w="1201" w:type="dxa"/>
            <w:vAlign w:val="center"/>
          </w:tcPr>
          <w:p>
            <w:pPr>
              <w:spacing w:line="360" w:lineRule="exact"/>
              <w:jc w:val="center"/>
              <w:rPr>
                <w:rFonts w:ascii="宋体" w:hAnsi="宋体" w:cs="宋体"/>
                <w:szCs w:val="21"/>
              </w:rPr>
            </w:pPr>
            <w:r>
              <w:rPr>
                <w:rFonts w:hint="eastAsia" w:ascii="宋体" w:hAnsi="宋体" w:cs="宋体"/>
                <w:szCs w:val="21"/>
              </w:rPr>
              <w:t>形式评审与响应性评审标准</w:t>
            </w:r>
          </w:p>
        </w:tc>
        <w:tc>
          <w:tcPr>
            <w:tcW w:w="6849" w:type="dxa"/>
            <w:vAlign w:val="center"/>
          </w:tcPr>
          <w:p>
            <w:pPr>
              <w:tabs>
                <w:tab w:val="left" w:pos="3060"/>
              </w:tabs>
              <w:spacing w:line="360" w:lineRule="exact"/>
              <w:ind w:firstLine="211" w:firstLineChars="100"/>
              <w:rPr>
                <w:rFonts w:ascii="宋体" w:hAnsi="宋体"/>
                <w:b/>
                <w:bCs/>
                <w:szCs w:val="21"/>
              </w:rPr>
            </w:pPr>
            <w:r>
              <w:rPr>
                <w:rFonts w:hint="eastAsia" w:ascii="宋体" w:hAnsi="宋体"/>
                <w:b/>
                <w:bCs/>
                <w:szCs w:val="21"/>
              </w:rPr>
              <w:t>第一个信封</w:t>
            </w:r>
            <w:r>
              <w:rPr>
                <w:rFonts w:hint="eastAsia" w:ascii="宋体" w:hAnsi="宋体"/>
                <w:b/>
                <w:szCs w:val="21"/>
              </w:rPr>
              <w:t>（商务及技术文件）</w:t>
            </w:r>
            <w:r>
              <w:rPr>
                <w:rFonts w:hint="eastAsia" w:ascii="宋体" w:hAnsi="宋体"/>
                <w:b/>
                <w:bCs/>
                <w:szCs w:val="21"/>
              </w:rPr>
              <w:t>评审标准：</w:t>
            </w:r>
          </w:p>
          <w:p>
            <w:pPr>
              <w:tabs>
                <w:tab w:val="left" w:pos="3060"/>
              </w:tabs>
              <w:spacing w:line="36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60" w:lineRule="exact"/>
              <w:ind w:firstLine="210" w:firstLineChars="100"/>
              <w:rPr>
                <w:rFonts w:ascii="宋体" w:hAnsi="宋体"/>
                <w:szCs w:val="21"/>
              </w:rPr>
            </w:pPr>
            <w:r>
              <w:rPr>
                <w:rFonts w:hint="eastAsia" w:ascii="宋体" w:hAnsi="宋体"/>
                <w:szCs w:val="21"/>
              </w:rPr>
              <w:t>a．投标函按招标文件规定填报了项目名称、补遗书编号（如有）、项目负责人姓名、职称、试验检测工程师证书编号/公路水运工程试验检测师管理号、检测服务期、质量要求及安全目标；</w:t>
            </w:r>
          </w:p>
          <w:p>
            <w:pPr>
              <w:tabs>
                <w:tab w:val="left" w:pos="3060"/>
              </w:tabs>
              <w:spacing w:line="360" w:lineRule="exact"/>
              <w:ind w:firstLine="210" w:firstLineChars="100"/>
              <w:rPr>
                <w:rFonts w:ascii="宋体" w:hAnsi="宋体"/>
                <w:szCs w:val="21"/>
              </w:rPr>
            </w:pPr>
            <w:r>
              <w:rPr>
                <w:rFonts w:hint="eastAsia" w:ascii="宋体" w:hAnsi="宋体"/>
                <w:szCs w:val="21"/>
              </w:rPr>
              <w:t>b．投标文件组成齐全完整，内容均按规定填写。</w:t>
            </w:r>
          </w:p>
          <w:p>
            <w:pPr>
              <w:tabs>
                <w:tab w:val="left" w:pos="3060"/>
              </w:tabs>
              <w:spacing w:line="360" w:lineRule="exact"/>
              <w:ind w:firstLine="210" w:firstLineChars="100"/>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（3）投标人法定代表人授权委托代理人签署投标文件的，须提交授权委托书，授权委托书符合招标文件规定。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（4）投标人法定代表人亲自签署投标文件的，提供了法定代表人身份证明，法定代表人身份证明符合招标文件规定。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（5）投标人未以联合体形式投标。</w:t>
            </w:r>
          </w:p>
          <w:p>
            <w:pPr>
              <w:autoSpaceDE w:val="0"/>
              <w:autoSpaceDN w:val="0"/>
              <w:adjustRightInd w:val="0"/>
              <w:spacing w:line="360" w:lineRule="exact"/>
              <w:jc w:val="left"/>
              <w:rPr>
                <w:rFonts w:ascii="宋体" w:hAnsi="宋体"/>
                <w:szCs w:val="21"/>
              </w:rPr>
            </w:pPr>
            <w:r>
              <w:rPr>
                <w:rFonts w:hint="eastAsia" w:ascii="宋体" w:hAnsi="宋体"/>
                <w:szCs w:val="21"/>
              </w:rPr>
              <w:t>（6）</w:t>
            </w:r>
            <w:r>
              <w:rPr>
                <w:rFonts w:ascii="宋体" w:hAnsi="宋体"/>
                <w:szCs w:val="21"/>
              </w:rPr>
              <w:t>投标人未对本项目提出分包计划</w:t>
            </w:r>
            <w:r>
              <w:rPr>
                <w:rFonts w:hint="eastAsia" w:ascii="宋体" w:hAnsi="宋体"/>
                <w:szCs w:val="21"/>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（7）同一投标人未提交两个以上不同的投标文件。</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（8）投标文件中未出现有关投标报价的内容。</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（9）投标文件载明的招标项目完成期限符合招标文件规定。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0）投标文件对招标文件的实质性要求和条件作出响应。</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1）权利义务符合招标文件规定：</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投标人应接受招标文件规定的风险划分原则，未提出新的风险划分办法；</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b.</w:t>
            </w:r>
            <w:r>
              <w:rPr>
                <w:rFonts w:hint="eastAsia" w:ascii="宋体" w:hAnsi="宋体" w:cs="宋体"/>
                <w:kern w:val="0"/>
                <w:szCs w:val="21"/>
              </w:rPr>
              <w:t>投标人未增加发包人的责任范围，或减少投标人义务；</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投标人未提出不同的支付办法；</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投标人对合同纠纷、事故处理办法未提出异议；</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e.</w:t>
            </w:r>
            <w:r>
              <w:rPr>
                <w:rFonts w:hint="eastAsia" w:ascii="宋体" w:hAnsi="宋体" w:cs="宋体"/>
                <w:kern w:val="0"/>
                <w:szCs w:val="21"/>
              </w:rPr>
              <w:t>投标人在投标活动中无欺诈行为；</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f.</w:t>
            </w:r>
            <w:r>
              <w:rPr>
                <w:rFonts w:hint="eastAsia" w:ascii="宋体" w:hAnsi="宋体" w:cs="宋体"/>
                <w:kern w:val="0"/>
                <w:szCs w:val="21"/>
              </w:rPr>
              <w:t>投标人未对合同条款有重要保留。</w:t>
            </w:r>
          </w:p>
          <w:p>
            <w:pPr>
              <w:tabs>
                <w:tab w:val="left" w:pos="3060"/>
              </w:tabs>
              <w:spacing w:line="360" w:lineRule="exact"/>
              <w:ind w:firstLine="210" w:firstLineChars="100"/>
              <w:rPr>
                <w:rFonts w:ascii="宋体" w:hAnsi="宋体"/>
                <w:szCs w:val="21"/>
              </w:rPr>
            </w:pPr>
            <w:r>
              <w:rPr>
                <w:rFonts w:hint="eastAsia" w:ascii="宋体" w:hAnsi="宋体" w:cs="宋体"/>
                <w:kern w:val="0"/>
                <w:szCs w:val="21"/>
              </w:rPr>
              <w:t>（12）投标人名称与营业执照、资质证书、</w:t>
            </w:r>
            <w:r>
              <w:rPr>
                <w:rFonts w:hint="eastAsia" w:ascii="宋体" w:hAnsi="宋体"/>
                <w:szCs w:val="21"/>
              </w:rPr>
              <w:t>计量认证合格证书、</w:t>
            </w:r>
            <w:r>
              <w:rPr>
                <w:rFonts w:hint="eastAsia" w:ascii="宋体" w:hAnsi="宋体" w:cs="宋体"/>
                <w:kern w:val="0"/>
                <w:szCs w:val="21"/>
              </w:rPr>
              <w:t>基本账户开户许可证（或基本存款账户信息）一致，如企业名称有变更的，应提供企业法人营业执照和资质证书的副本变更记录或相关部门的合法批件复印件。</w:t>
            </w:r>
          </w:p>
          <w:p>
            <w:pPr>
              <w:tabs>
                <w:tab w:val="left" w:pos="3060"/>
              </w:tabs>
              <w:spacing w:line="36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60" w:lineRule="exact"/>
              <w:ind w:firstLine="210" w:firstLineChars="100"/>
              <w:rPr>
                <w:rFonts w:ascii="宋体" w:hAnsi="宋体"/>
                <w:szCs w:val="21"/>
              </w:rPr>
            </w:pPr>
            <w:r>
              <w:rPr>
                <w:rFonts w:hint="eastAsia" w:ascii="宋体" w:hAnsi="宋体"/>
                <w:szCs w:val="21"/>
              </w:rPr>
              <w:t>a．投标函按招标文件规定填报了项目名称、补遗书编号（如有）、投标价（包括大写金额和小写金额）；</w:t>
            </w:r>
          </w:p>
          <w:p>
            <w:pPr>
              <w:tabs>
                <w:tab w:val="left" w:pos="3060"/>
              </w:tabs>
              <w:spacing w:line="360" w:lineRule="exact"/>
              <w:ind w:firstLine="210" w:firstLineChars="100"/>
              <w:rPr>
                <w:rFonts w:ascii="宋体" w:hAnsi="宋体"/>
                <w:szCs w:val="21"/>
              </w:rPr>
            </w:pPr>
            <w:r>
              <w:rPr>
                <w:rFonts w:hint="eastAsia" w:ascii="宋体" w:hAnsi="宋体"/>
                <w:szCs w:val="21"/>
              </w:rPr>
              <w:t>b．报价清单说明文字与招标文件规定一致，未进行实质性修改和删减；</w:t>
            </w:r>
          </w:p>
          <w:p>
            <w:pPr>
              <w:tabs>
                <w:tab w:val="left" w:pos="3060"/>
              </w:tabs>
              <w:spacing w:line="360" w:lineRule="exact"/>
              <w:ind w:firstLine="210" w:firstLineChars="100"/>
              <w:rPr>
                <w:rFonts w:ascii="宋体" w:hAnsi="宋体"/>
                <w:szCs w:val="21"/>
              </w:rPr>
            </w:pPr>
            <w:r>
              <w:rPr>
                <w:rFonts w:hint="eastAsia" w:ascii="宋体" w:hAnsi="宋体"/>
                <w:szCs w:val="21"/>
              </w:rPr>
              <w:t>c．投标文件组成齐全完整，内容均按规定填写。</w:t>
            </w:r>
          </w:p>
          <w:p>
            <w:pPr>
              <w:tabs>
                <w:tab w:val="left" w:pos="3060"/>
              </w:tabs>
              <w:spacing w:line="360" w:lineRule="exact"/>
              <w:ind w:firstLine="205" w:firstLineChars="98"/>
              <w:rPr>
                <w:rFonts w:ascii="宋体" w:hAnsi="宋体"/>
                <w:bCs/>
                <w:szCs w:val="21"/>
              </w:rPr>
            </w:pPr>
            <w:r>
              <w:rPr>
                <w:rFonts w:hint="eastAsia" w:ascii="宋体" w:hAnsi="宋体"/>
                <w:bCs/>
                <w:szCs w:val="21"/>
              </w:rPr>
              <w:t>（2）</w:t>
            </w:r>
            <w:r>
              <w:rPr>
                <w:rFonts w:hint="eastAsia" w:ascii="宋体" w:hAnsi="宋体"/>
                <w:szCs w:val="21"/>
              </w:rPr>
              <w:t>投标文件上法定代表人或其授权代理人的签字、投标人的单位章盖章齐全，符合招标文件规定</w:t>
            </w:r>
            <w:r>
              <w:rPr>
                <w:rFonts w:hint="eastAsia" w:ascii="宋体" w:hAnsi="宋体"/>
                <w:bCs/>
                <w:szCs w:val="21"/>
              </w:rPr>
              <w:t>；</w:t>
            </w:r>
          </w:p>
          <w:p>
            <w:pPr>
              <w:tabs>
                <w:tab w:val="left" w:pos="3060"/>
              </w:tabs>
              <w:spacing w:line="360" w:lineRule="exact"/>
              <w:ind w:firstLine="210" w:firstLineChars="1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宋体" w:hAnsi="宋体"/>
                <w:b/>
                <w:bCs/>
              </w:rPr>
              <w:t>投标报价未超过招标文件设定的最高投标限价（各分项投标报价均未超过招标文件设定的最高投标限价。）</w:t>
            </w:r>
          </w:p>
          <w:p>
            <w:pPr>
              <w:autoSpaceDE w:val="0"/>
              <w:autoSpaceDN w:val="0"/>
              <w:adjustRightInd w:val="0"/>
              <w:spacing w:line="360" w:lineRule="exact"/>
              <w:ind w:firstLine="210" w:firstLine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）投标报价的大写金额能够确定具体数值。</w:t>
            </w:r>
          </w:p>
          <w:p>
            <w:pPr>
              <w:tabs>
                <w:tab w:val="left" w:pos="3060"/>
              </w:tabs>
              <w:spacing w:line="360" w:lineRule="exact"/>
              <w:ind w:firstLine="210" w:firstLineChars="100"/>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rPr>
            </w:pPr>
            <w:r>
              <w:rPr>
                <w:rFonts w:hint="eastAsia" w:ascii="宋体" w:hAnsi="宋体" w:cs="宋体"/>
                <w:szCs w:val="21"/>
              </w:rPr>
              <w:t>2.1.2</w:t>
            </w:r>
          </w:p>
        </w:tc>
        <w:tc>
          <w:tcPr>
            <w:tcW w:w="1201" w:type="dxa"/>
            <w:vAlign w:val="center"/>
          </w:tcPr>
          <w:p>
            <w:pPr>
              <w:spacing w:line="360" w:lineRule="exact"/>
              <w:jc w:val="center"/>
              <w:rPr>
                <w:rFonts w:ascii="宋体" w:hAnsi="宋体" w:cs="宋体"/>
                <w:szCs w:val="21"/>
              </w:rPr>
            </w:pPr>
            <w:r>
              <w:rPr>
                <w:rFonts w:hint="eastAsia" w:ascii="宋体" w:hAnsi="宋体" w:cs="宋体"/>
                <w:szCs w:val="21"/>
              </w:rPr>
              <w:t>资格评审标准</w:t>
            </w:r>
          </w:p>
        </w:tc>
        <w:tc>
          <w:tcPr>
            <w:tcW w:w="6849" w:type="dxa"/>
            <w:vAlign w:val="center"/>
          </w:tcPr>
          <w:p>
            <w:pPr>
              <w:spacing w:line="360" w:lineRule="exact"/>
              <w:rPr>
                <w:rFonts w:ascii="宋体" w:hAnsi="宋体"/>
                <w:szCs w:val="21"/>
              </w:rPr>
            </w:pPr>
            <w:r>
              <w:rPr>
                <w:rFonts w:hint="eastAsia" w:ascii="宋体" w:hAnsi="宋体"/>
                <w:szCs w:val="21"/>
              </w:rPr>
              <w:t>（1）投标人具备有效的营业执照（或</w:t>
            </w:r>
            <w:r>
              <w:rPr>
                <w:rFonts w:ascii="宋体" w:hAnsi="宋体"/>
                <w:szCs w:val="21"/>
              </w:rPr>
              <w:t>事业单位法人证书</w:t>
            </w:r>
            <w:r>
              <w:rPr>
                <w:rFonts w:hint="eastAsia" w:ascii="宋体" w:hAnsi="宋体"/>
                <w:szCs w:val="21"/>
              </w:rPr>
              <w:t>）、计量认证合格证书和基本账户开户许可证</w:t>
            </w:r>
            <w:r>
              <w:rPr>
                <w:rFonts w:hint="eastAsia" w:ascii="宋体" w:hAnsi="宋体" w:cs="宋体"/>
                <w:kern w:val="0"/>
                <w:szCs w:val="21"/>
              </w:rPr>
              <w:t>（或基本存款账户信息）</w:t>
            </w:r>
            <w:r>
              <w:rPr>
                <w:rFonts w:hint="eastAsia" w:ascii="宋体" w:hAnsi="宋体"/>
                <w:szCs w:val="21"/>
              </w:rPr>
              <w:t>。</w:t>
            </w:r>
          </w:p>
          <w:p>
            <w:pPr>
              <w:spacing w:line="360" w:lineRule="exact"/>
              <w:rPr>
                <w:rFonts w:ascii="宋体" w:hAnsi="宋体"/>
                <w:szCs w:val="21"/>
              </w:rPr>
            </w:pPr>
            <w:r>
              <w:rPr>
                <w:rFonts w:hint="eastAsia" w:ascii="宋体" w:hAnsi="宋体"/>
                <w:szCs w:val="21"/>
              </w:rPr>
              <w:t>（2）投标人的资质等级符合招标文件规定。</w:t>
            </w:r>
          </w:p>
          <w:p>
            <w:pPr>
              <w:spacing w:line="360" w:lineRule="exact"/>
              <w:rPr>
                <w:rFonts w:ascii="宋体" w:hAnsi="宋体"/>
                <w:szCs w:val="21"/>
              </w:rPr>
            </w:pPr>
            <w:r>
              <w:rPr>
                <w:rFonts w:hint="eastAsia" w:ascii="宋体" w:hAnsi="宋体"/>
                <w:szCs w:val="21"/>
              </w:rPr>
              <w:t>（3）投标人的类似项目业绩符合招标文件规定。</w:t>
            </w:r>
          </w:p>
          <w:p>
            <w:pPr>
              <w:spacing w:line="360" w:lineRule="exact"/>
              <w:rPr>
                <w:rFonts w:ascii="宋体" w:hAnsi="宋体"/>
                <w:szCs w:val="21"/>
              </w:rPr>
            </w:pPr>
            <w:r>
              <w:rPr>
                <w:rFonts w:hint="eastAsia" w:ascii="宋体" w:hAnsi="宋体"/>
                <w:szCs w:val="21"/>
              </w:rPr>
              <w:t>（4）投标人的信誉符合招标文件规定。</w:t>
            </w:r>
          </w:p>
          <w:p>
            <w:pPr>
              <w:spacing w:line="360" w:lineRule="exact"/>
              <w:rPr>
                <w:rFonts w:ascii="宋体" w:hAnsi="宋体"/>
                <w:szCs w:val="21"/>
              </w:rPr>
            </w:pPr>
            <w:r>
              <w:rPr>
                <w:rFonts w:hint="eastAsia" w:ascii="宋体" w:hAnsi="宋体"/>
                <w:szCs w:val="21"/>
              </w:rPr>
              <w:t>（5）投标人的项目负责人资格符合招标文件规定。</w:t>
            </w:r>
          </w:p>
          <w:p>
            <w:pPr>
              <w:spacing w:line="360" w:lineRule="exac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rPr>
            </w:pPr>
            <w:r>
              <w:rPr>
                <w:rFonts w:hint="eastAsia" w:ascii="宋体" w:hAnsi="宋体" w:cs="宋体"/>
                <w:szCs w:val="21"/>
              </w:rPr>
              <w:t>2.2.1</w:t>
            </w:r>
          </w:p>
        </w:tc>
        <w:tc>
          <w:tcPr>
            <w:tcW w:w="1201" w:type="dxa"/>
            <w:vAlign w:val="center"/>
          </w:tcPr>
          <w:p>
            <w:pPr>
              <w:spacing w:line="360" w:lineRule="exact"/>
              <w:jc w:val="center"/>
              <w:rPr>
                <w:rFonts w:ascii="宋体" w:hAnsi="宋体" w:cs="宋体"/>
                <w:szCs w:val="21"/>
              </w:rPr>
            </w:pPr>
            <w:r>
              <w:rPr>
                <w:rFonts w:hint="eastAsia" w:ascii="宋体" w:hAnsi="宋体" w:cs="宋体"/>
                <w:szCs w:val="21"/>
              </w:rPr>
              <w:t>分值构成（总分100分）</w:t>
            </w:r>
          </w:p>
        </w:tc>
        <w:tc>
          <w:tcPr>
            <w:tcW w:w="6849" w:type="dxa"/>
            <w:vAlign w:val="center"/>
          </w:tcPr>
          <w:p>
            <w:pPr>
              <w:spacing w:line="360" w:lineRule="exact"/>
              <w:rPr>
                <w:rFonts w:ascii="宋体" w:hAnsi="宋体"/>
                <w:b/>
                <w:szCs w:val="21"/>
              </w:rPr>
            </w:pPr>
            <w:r>
              <w:rPr>
                <w:rFonts w:hint="eastAsia" w:ascii="宋体" w:hAnsi="宋体"/>
                <w:b/>
                <w:szCs w:val="21"/>
              </w:rPr>
              <w:t>第一个信封（商务及技术文件）评分分值构成：</w:t>
            </w:r>
          </w:p>
          <w:p>
            <w:pPr>
              <w:spacing w:line="360" w:lineRule="exact"/>
              <w:rPr>
                <w:rFonts w:ascii="宋体" w:hAnsi="宋体"/>
                <w:szCs w:val="21"/>
              </w:rPr>
            </w:pPr>
            <w:r>
              <w:rPr>
                <w:rFonts w:hint="eastAsia" w:ascii="宋体" w:hAnsi="宋体"/>
                <w:szCs w:val="21"/>
              </w:rPr>
              <w:t>技术建议书：35分</w:t>
            </w:r>
          </w:p>
          <w:p>
            <w:pPr>
              <w:spacing w:line="360" w:lineRule="exact"/>
              <w:rPr>
                <w:rFonts w:ascii="宋体" w:hAnsi="宋体"/>
                <w:szCs w:val="21"/>
              </w:rPr>
            </w:pPr>
            <w:r>
              <w:rPr>
                <w:rFonts w:hint="eastAsia" w:ascii="宋体" w:hAnsi="宋体"/>
                <w:szCs w:val="21"/>
              </w:rPr>
              <w:t>主要人员：25分</w:t>
            </w:r>
          </w:p>
          <w:p>
            <w:pPr>
              <w:spacing w:line="360" w:lineRule="exact"/>
              <w:rPr>
                <w:rFonts w:ascii="宋体" w:hAnsi="宋体"/>
                <w:szCs w:val="21"/>
              </w:rPr>
            </w:pPr>
            <w:r>
              <w:rPr>
                <w:rFonts w:hint="eastAsia" w:ascii="宋体" w:hAnsi="宋体"/>
                <w:szCs w:val="21"/>
              </w:rPr>
              <w:t>业绩：30分</w:t>
            </w:r>
          </w:p>
          <w:p>
            <w:pPr>
              <w:spacing w:line="360" w:lineRule="exact"/>
              <w:rPr>
                <w:rFonts w:ascii="宋体" w:hAnsi="宋体"/>
                <w:b/>
                <w:szCs w:val="21"/>
              </w:rPr>
            </w:pPr>
            <w:r>
              <w:rPr>
                <w:rFonts w:hint="eastAsia" w:ascii="宋体" w:hAnsi="宋体"/>
                <w:b/>
                <w:szCs w:val="21"/>
              </w:rPr>
              <w:t>第二个信封（报价文件）评分分值构成：</w:t>
            </w:r>
          </w:p>
          <w:p>
            <w:pPr>
              <w:spacing w:line="360" w:lineRule="exact"/>
              <w:rPr>
                <w:rFonts w:ascii="宋体" w:hAnsi="宋体"/>
                <w:szCs w:val="21"/>
              </w:rPr>
            </w:pPr>
            <w:r>
              <w:rPr>
                <w:rFonts w:hint="eastAsia" w:ascii="宋体" w:hAnsi="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rPr>
            </w:pPr>
            <w:r>
              <w:rPr>
                <w:rFonts w:hint="eastAsia" w:ascii="宋体" w:hAnsi="宋体" w:cs="宋体"/>
                <w:szCs w:val="21"/>
              </w:rPr>
              <w:t>2.2.2</w:t>
            </w:r>
          </w:p>
        </w:tc>
        <w:tc>
          <w:tcPr>
            <w:tcW w:w="1201" w:type="dxa"/>
            <w:vAlign w:val="center"/>
          </w:tcPr>
          <w:p>
            <w:pPr>
              <w:spacing w:line="360" w:lineRule="exact"/>
              <w:jc w:val="center"/>
              <w:rPr>
                <w:rFonts w:ascii="宋体" w:hAnsi="宋体" w:cs="宋体"/>
                <w:szCs w:val="21"/>
              </w:rPr>
            </w:pPr>
            <w:r>
              <w:rPr>
                <w:rFonts w:hint="eastAsia" w:ascii="宋体" w:hAnsi="宋体" w:cs="宋体"/>
                <w:szCs w:val="21"/>
              </w:rPr>
              <w:t>评标基准价计算方法</w:t>
            </w:r>
          </w:p>
        </w:tc>
        <w:tc>
          <w:tcPr>
            <w:tcW w:w="6849" w:type="dxa"/>
            <w:vAlign w:val="center"/>
          </w:tcPr>
          <w:p>
            <w:pPr>
              <w:ind w:left="113" w:right="113" w:firstLine="210" w:firstLineChars="100"/>
              <w:rPr>
                <w:rFonts w:ascii="宋体" w:hAnsi="宋体"/>
                <w:szCs w:val="21"/>
              </w:rPr>
            </w:pPr>
            <w:r>
              <w:rPr>
                <w:rFonts w:hint="eastAsia" w:ascii="宋体" w:hAnsi="宋体"/>
                <w:szCs w:val="21"/>
              </w:rPr>
              <w:t>评标基准价的计算：</w:t>
            </w:r>
          </w:p>
          <w:p>
            <w:pPr>
              <w:ind w:left="113" w:right="113" w:firstLine="210" w:firstLineChars="100"/>
              <w:rPr>
                <w:rFonts w:ascii="宋体" w:hAnsi="宋体"/>
                <w:szCs w:val="21"/>
              </w:rPr>
            </w:pPr>
            <w:r>
              <w:rPr>
                <w:rFonts w:hint="eastAsia" w:ascii="宋体" w:hAnsi="宋体"/>
                <w:szCs w:val="21"/>
              </w:rPr>
              <w:t>在第二个信封开标现场，招标人将当场计算并宣布评标基准价。</w:t>
            </w:r>
          </w:p>
          <w:p>
            <w:pPr>
              <w:ind w:left="113" w:right="113" w:firstLine="210" w:firstLineChars="100"/>
              <w:rPr>
                <w:rFonts w:ascii="宋体" w:hAnsi="宋体"/>
                <w:szCs w:val="21"/>
              </w:rPr>
            </w:pPr>
            <w:r>
              <w:rPr>
                <w:rFonts w:ascii="宋体" w:hAnsi="宋体"/>
                <w:szCs w:val="21"/>
              </w:rPr>
              <w:t>(1)</w:t>
            </w:r>
            <w:r>
              <w:rPr>
                <w:rFonts w:hint="eastAsia" w:ascii="宋体" w:hAnsi="宋体"/>
                <w:szCs w:val="21"/>
              </w:rPr>
              <w:t>评标价的确定：</w:t>
            </w:r>
          </w:p>
          <w:p>
            <w:pPr>
              <w:ind w:left="113" w:right="113" w:firstLine="210" w:firstLineChars="100"/>
              <w:rPr>
                <w:rFonts w:ascii="宋体" w:hAnsi="宋体"/>
                <w:szCs w:val="21"/>
              </w:rPr>
            </w:pPr>
            <w:r>
              <w:rPr>
                <w:rFonts w:hint="eastAsia" w:ascii="宋体" w:hAnsi="宋体"/>
                <w:szCs w:val="21"/>
              </w:rPr>
              <w:t>评标价</w:t>
            </w:r>
            <w:r>
              <w:rPr>
                <w:rFonts w:ascii="宋体" w:hAnsi="宋体"/>
                <w:szCs w:val="21"/>
              </w:rPr>
              <w:t>=</w:t>
            </w:r>
            <w:r>
              <w:rPr>
                <w:rFonts w:hint="eastAsia" w:ascii="宋体" w:hAnsi="宋体"/>
                <w:szCs w:val="21"/>
              </w:rPr>
              <w:t>投标函文字报价</w:t>
            </w:r>
          </w:p>
          <w:p>
            <w:pPr>
              <w:ind w:left="113" w:right="113" w:firstLine="210" w:firstLineChars="100"/>
              <w:rPr>
                <w:rFonts w:ascii="宋体" w:hAnsi="宋体"/>
                <w:szCs w:val="21"/>
              </w:rPr>
            </w:pPr>
            <w:r>
              <w:rPr>
                <w:rFonts w:ascii="宋体" w:hAnsi="宋体"/>
                <w:szCs w:val="21"/>
              </w:rPr>
              <w:t>(2)</w:t>
            </w:r>
            <w:r>
              <w:rPr>
                <w:rFonts w:hint="eastAsia" w:ascii="宋体" w:hAnsi="宋体"/>
                <w:szCs w:val="21"/>
              </w:rPr>
              <w:t>评标价平均值的计算：</w:t>
            </w:r>
          </w:p>
          <w:p>
            <w:pPr>
              <w:ind w:left="113" w:right="113" w:firstLine="210" w:firstLineChars="100"/>
              <w:rPr>
                <w:rFonts w:ascii="宋体" w:hAnsi="宋体"/>
                <w:szCs w:val="21"/>
              </w:rPr>
            </w:pPr>
            <w:r>
              <w:rPr>
                <w:rFonts w:hint="eastAsia" w:ascii="宋体" w:hAnsi="宋体"/>
                <w:szCs w:val="21"/>
              </w:rPr>
              <w:t>除按第二章“投标人须知”第</w:t>
            </w:r>
            <w:r>
              <w:rPr>
                <w:rFonts w:ascii="宋体" w:hAnsi="宋体"/>
                <w:szCs w:val="21"/>
              </w:rPr>
              <w:t>5.2.4</w:t>
            </w:r>
            <w:r>
              <w:rPr>
                <w:rFonts w:hint="eastAsia" w:ascii="宋体" w:hAnsi="宋体"/>
                <w:szCs w:val="21"/>
              </w:rPr>
              <w:t>项规定开标现场被宣布为不进入评标基准价计算的投标报价之外，如果参与计算的投标人数量＜</w:t>
            </w:r>
            <w:r>
              <w:rPr>
                <w:rFonts w:ascii="宋体" w:hAnsi="宋体"/>
                <w:szCs w:val="21"/>
              </w:rPr>
              <w:t>6</w:t>
            </w:r>
            <w:r>
              <w:rPr>
                <w:rFonts w:hint="eastAsia" w:ascii="宋体" w:hAnsi="宋体"/>
                <w:szCs w:val="21"/>
              </w:rPr>
              <w:t>家时，计算评标价平均值时不去最高值和最低值；如果</w:t>
            </w:r>
            <w:r>
              <w:rPr>
                <w:rFonts w:ascii="宋体" w:hAnsi="宋体"/>
                <w:szCs w:val="21"/>
              </w:rPr>
              <w:t>6</w:t>
            </w:r>
            <w:r>
              <w:rPr>
                <w:rFonts w:hint="eastAsia" w:ascii="宋体" w:hAnsi="宋体"/>
                <w:szCs w:val="21"/>
              </w:rPr>
              <w:t>≤参与计算的投标人数量≤</w:t>
            </w:r>
            <w:r>
              <w:rPr>
                <w:rFonts w:ascii="宋体" w:hAnsi="宋体"/>
                <w:szCs w:val="21"/>
              </w:rPr>
              <w:t>10</w:t>
            </w:r>
            <w:r>
              <w:rPr>
                <w:rFonts w:hint="eastAsia" w:ascii="宋体" w:hAnsi="宋体"/>
                <w:szCs w:val="21"/>
              </w:rPr>
              <w:t>家时，计算评标价平均值时去掉</w:t>
            </w:r>
            <w:r>
              <w:rPr>
                <w:rFonts w:ascii="宋体" w:hAnsi="宋体"/>
                <w:szCs w:val="21"/>
              </w:rPr>
              <w:t>1</w:t>
            </w:r>
            <w:r>
              <w:rPr>
                <w:rFonts w:hint="eastAsia" w:ascii="宋体" w:hAnsi="宋体"/>
                <w:szCs w:val="21"/>
              </w:rPr>
              <w:t>个最高值和</w:t>
            </w:r>
            <w:r>
              <w:rPr>
                <w:rFonts w:ascii="宋体" w:hAnsi="宋体"/>
                <w:szCs w:val="21"/>
              </w:rPr>
              <w:t>1</w:t>
            </w:r>
            <w:r>
              <w:rPr>
                <w:rFonts w:hint="eastAsia" w:ascii="宋体" w:hAnsi="宋体"/>
                <w:szCs w:val="21"/>
              </w:rPr>
              <w:t>个最低值；如果参与计算的投标人数量＞</w:t>
            </w:r>
            <w:r>
              <w:rPr>
                <w:rFonts w:ascii="宋体" w:hAnsi="宋体"/>
                <w:szCs w:val="21"/>
              </w:rPr>
              <w:t>10</w:t>
            </w:r>
            <w:r>
              <w:rPr>
                <w:rFonts w:hint="eastAsia" w:ascii="宋体" w:hAnsi="宋体"/>
                <w:szCs w:val="21"/>
              </w:rPr>
              <w:t>家时，计算评标价平均值时去掉</w:t>
            </w:r>
            <w:r>
              <w:rPr>
                <w:rFonts w:ascii="宋体" w:hAnsi="宋体"/>
                <w:szCs w:val="21"/>
              </w:rPr>
              <w:t>2</w:t>
            </w:r>
            <w:r>
              <w:rPr>
                <w:rFonts w:hint="eastAsia" w:ascii="宋体" w:hAnsi="宋体"/>
                <w:szCs w:val="21"/>
              </w:rPr>
              <w:t>个最高值和</w:t>
            </w:r>
            <w:r>
              <w:rPr>
                <w:rFonts w:ascii="宋体" w:hAnsi="宋体"/>
                <w:szCs w:val="21"/>
              </w:rPr>
              <w:t>2</w:t>
            </w:r>
            <w:r>
              <w:rPr>
                <w:rFonts w:hint="eastAsia" w:ascii="宋体" w:hAnsi="宋体"/>
                <w:szCs w:val="21"/>
              </w:rPr>
              <w:t>个最低值。</w:t>
            </w:r>
          </w:p>
          <w:p>
            <w:pPr>
              <w:ind w:left="113" w:right="113" w:firstLine="210" w:firstLineChars="100"/>
              <w:rPr>
                <w:rFonts w:ascii="宋体" w:hAnsi="宋体"/>
                <w:szCs w:val="21"/>
              </w:rPr>
            </w:pPr>
            <w:r>
              <w:rPr>
                <w:rFonts w:ascii="宋体" w:hAnsi="宋体"/>
                <w:szCs w:val="21"/>
              </w:rPr>
              <w:t>(3)</w:t>
            </w:r>
            <w:r>
              <w:rPr>
                <w:rFonts w:hint="eastAsia" w:ascii="宋体" w:hAnsi="宋体"/>
                <w:szCs w:val="21"/>
              </w:rPr>
              <w:t>评标基准价的确定：</w:t>
            </w:r>
          </w:p>
          <w:p>
            <w:pPr>
              <w:ind w:left="113" w:right="113" w:firstLine="210" w:firstLineChars="100"/>
              <w:rPr>
                <w:rFonts w:ascii="宋体" w:hAnsi="宋体"/>
                <w:szCs w:val="21"/>
              </w:rPr>
            </w:pPr>
            <w:r>
              <w:rPr>
                <w:rFonts w:hint="eastAsia" w:ascii="宋体" w:hAnsi="宋体"/>
                <w:szCs w:val="21"/>
              </w:rPr>
              <w:t>将评标价平均值直接作为评标基准价（评标基准价保留两位小数，第三位四舍五入）。当所有投标价都高于招标人投标控制价上限时，招标人将重新招标。</w:t>
            </w:r>
          </w:p>
          <w:p>
            <w:pPr>
              <w:spacing w:line="360" w:lineRule="exact"/>
              <w:jc w:val="left"/>
              <w:rPr>
                <w:rFonts w:ascii="宋体" w:hAnsi="宋体" w:cs="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010" w:type="dxa"/>
            <w:vAlign w:val="center"/>
          </w:tcPr>
          <w:p>
            <w:pPr>
              <w:spacing w:line="360" w:lineRule="exact"/>
              <w:jc w:val="center"/>
              <w:rPr>
                <w:rFonts w:ascii="宋体" w:hAnsi="宋体" w:cs="宋体"/>
                <w:szCs w:val="21"/>
              </w:rPr>
            </w:pPr>
            <w:r>
              <w:rPr>
                <w:rFonts w:hint="eastAsia" w:ascii="宋体" w:hAnsi="宋体" w:cs="宋体"/>
                <w:szCs w:val="21"/>
              </w:rPr>
              <w:t>2.2.3</w:t>
            </w:r>
          </w:p>
        </w:tc>
        <w:tc>
          <w:tcPr>
            <w:tcW w:w="1201" w:type="dxa"/>
            <w:vAlign w:val="center"/>
          </w:tcPr>
          <w:p>
            <w:pPr>
              <w:spacing w:line="360" w:lineRule="exact"/>
              <w:ind w:left="113" w:right="113"/>
              <w:rPr>
                <w:rFonts w:ascii="宋体" w:hAnsi="宋体"/>
                <w:szCs w:val="21"/>
              </w:rPr>
            </w:pPr>
            <w:r>
              <w:rPr>
                <w:rFonts w:hint="eastAsia" w:ascii="宋体" w:hAnsi="宋体" w:cs="宋体"/>
                <w:szCs w:val="21"/>
              </w:rPr>
              <w:t>评标价的偏差率计算公式</w:t>
            </w:r>
          </w:p>
        </w:tc>
        <w:tc>
          <w:tcPr>
            <w:tcW w:w="6849" w:type="dxa"/>
            <w:vAlign w:val="center"/>
          </w:tcPr>
          <w:p>
            <w:pPr>
              <w:spacing w:line="360" w:lineRule="exact"/>
              <w:jc w:val="left"/>
              <w:rPr>
                <w:rFonts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rPr>
            </w:pPr>
            <w:r>
              <w:rPr>
                <w:rFonts w:hint="eastAsia" w:ascii="宋体" w:hAnsi="宋体" w:cs="宋体"/>
                <w:szCs w:val="21"/>
              </w:rPr>
              <w:t>3.6.1</w:t>
            </w:r>
          </w:p>
        </w:tc>
        <w:tc>
          <w:tcPr>
            <w:tcW w:w="1201" w:type="dxa"/>
            <w:vAlign w:val="center"/>
          </w:tcPr>
          <w:p>
            <w:pPr>
              <w:spacing w:line="360" w:lineRule="exact"/>
              <w:ind w:left="113" w:right="113"/>
              <w:jc w:val="center"/>
              <w:rPr>
                <w:rFonts w:ascii="宋体" w:hAnsi="宋体" w:cs="宋体"/>
                <w:szCs w:val="21"/>
              </w:rPr>
            </w:pPr>
            <w:r>
              <w:rPr>
                <w:rFonts w:hint="eastAsia" w:ascii="宋体" w:hAnsi="宋体" w:cs="宋体"/>
                <w:szCs w:val="21"/>
              </w:rPr>
              <w:t>信息</w:t>
            </w:r>
          </w:p>
          <w:p>
            <w:pPr>
              <w:spacing w:line="360" w:lineRule="exact"/>
              <w:ind w:left="113" w:right="113"/>
              <w:jc w:val="center"/>
              <w:rPr>
                <w:rFonts w:ascii="宋体" w:hAnsi="宋体" w:cs="宋体"/>
                <w:szCs w:val="21"/>
              </w:rPr>
            </w:pPr>
            <w:r>
              <w:rPr>
                <w:rFonts w:hint="eastAsia" w:ascii="宋体" w:hAnsi="宋体" w:cs="宋体"/>
                <w:szCs w:val="21"/>
              </w:rPr>
              <w:t>查询</w:t>
            </w:r>
          </w:p>
        </w:tc>
        <w:tc>
          <w:tcPr>
            <w:tcW w:w="6849" w:type="dxa"/>
            <w:vAlign w:val="center"/>
          </w:tcPr>
          <w:p>
            <w:pPr>
              <w:spacing w:line="360" w:lineRule="exact"/>
              <w:ind w:firstLine="420" w:firstLineChars="200"/>
              <w:rPr>
                <w:rFonts w:ascii="宋体" w:hAnsi="宋体"/>
                <w:szCs w:val="21"/>
              </w:rPr>
            </w:pPr>
            <w:r>
              <w:rPr>
                <w:rFonts w:hint="eastAsia"/>
                <w:szCs w:val="21"/>
              </w:rPr>
              <w:t>本款修改为：</w:t>
            </w:r>
          </w:p>
          <w:p>
            <w:pPr>
              <w:spacing w:line="400" w:lineRule="exact"/>
              <w:ind w:firstLine="420" w:firstLineChars="200"/>
              <w:jc w:val="left"/>
              <w:rPr>
                <w:rFonts w:ascii="宋体" w:hAnsi="宋体"/>
                <w:szCs w:val="21"/>
              </w:rPr>
            </w:pPr>
            <w:r>
              <w:rPr>
                <w:rFonts w:hint="eastAsia" w:ascii="宋体" w:hAnsi="宋体"/>
                <w:szCs w:val="21"/>
              </w:rPr>
              <w:t>评标委员会在评标时将对以下信息进行查询：</w:t>
            </w:r>
          </w:p>
          <w:p>
            <w:pPr>
              <w:spacing w:line="400" w:lineRule="exact"/>
              <w:ind w:firstLine="420" w:firstLineChars="200"/>
              <w:jc w:val="left"/>
              <w:rPr>
                <w:rFonts w:ascii="宋体" w:hAnsi="宋体"/>
                <w:szCs w:val="21"/>
              </w:rPr>
            </w:pPr>
            <w:r>
              <w:rPr>
                <w:rFonts w:hint="eastAsia" w:ascii="宋体" w:hAnsi="宋体"/>
                <w:szCs w:val="21"/>
              </w:rPr>
              <w:t>1.在交通运输部“公路水运工程质量试验检测管理信息系统”中查询试验检测机构等级证书及查询项目负责人的登记信息；</w:t>
            </w:r>
          </w:p>
          <w:p>
            <w:pPr>
              <w:spacing w:line="360" w:lineRule="exact"/>
              <w:ind w:firstLine="420" w:firstLineChars="200"/>
              <w:rPr>
                <w:rFonts w:ascii="宋体" w:hAnsi="宋体"/>
                <w:szCs w:val="21"/>
              </w:rPr>
            </w:pPr>
            <w:r>
              <w:rPr>
                <w:rFonts w:hint="eastAsia" w:ascii="宋体" w:hAnsi="宋体"/>
                <w:szCs w:val="21"/>
              </w:rPr>
              <w:t>2.在“国家企业信用信息公示系统（http://www.gsxt.gov.cn/)”对投标人的信用情况进行查询，若投标人存在被列入“严重违法失信企业名单”情形的（事业单位不适用，不含分公司），评标委员会应否决其投标。</w:t>
            </w:r>
          </w:p>
          <w:p>
            <w:pPr>
              <w:spacing w:line="360" w:lineRule="exact"/>
              <w:ind w:firstLine="420" w:firstLineChars="200"/>
              <w:rPr>
                <w:rFonts w:ascii="宋体" w:hAnsi="宋体"/>
                <w:szCs w:val="21"/>
              </w:rPr>
            </w:pPr>
            <w:r>
              <w:rPr>
                <w:rFonts w:hint="eastAsia" w:ascii="宋体" w:hAnsi="宋体"/>
                <w:szCs w:val="21"/>
              </w:rPr>
              <w:t>3.在“信用中国网站（http://www.creditchina.gov.cn/)”对投标人的信用情况进行查询，若投标人存在被列入“</w:t>
            </w:r>
            <w:r>
              <w:rPr>
                <w:rFonts w:hint="eastAsia" w:hAnsi="宋体" w:cs="宋体"/>
                <w:kern w:val="0"/>
                <w:szCs w:val="21"/>
              </w:rPr>
              <w:t>失信被执行人名单、异常经营名录、税收违法黑名单、政府采购严重违法失信行为记录名单</w:t>
            </w:r>
            <w:r>
              <w:rPr>
                <w:rFonts w:hint="eastAsia" w:ascii="宋体" w:hAnsi="宋体"/>
                <w:szCs w:val="21"/>
              </w:rPr>
              <w:t>”情形的（均不含分公司），评标委员会应否决其投标。</w:t>
            </w:r>
          </w:p>
          <w:p>
            <w:pPr>
              <w:spacing w:line="360" w:lineRule="exact"/>
              <w:ind w:firstLine="420" w:firstLineChars="200"/>
              <w:rPr>
                <w:szCs w:val="21"/>
              </w:rPr>
            </w:pPr>
            <w:r>
              <w:rPr>
                <w:rFonts w:hint="eastAsia"/>
                <w:szCs w:val="21"/>
              </w:rPr>
              <w:t>如投标人未提供相关网页截图，评标委员会应否决其投标。</w:t>
            </w:r>
          </w:p>
          <w:p>
            <w:pPr>
              <w:spacing w:line="360" w:lineRule="exact"/>
              <w:ind w:firstLine="420" w:firstLineChars="200"/>
              <w:rPr>
                <w:rFonts w:ascii="宋体" w:hAnsi="宋体"/>
                <w:szCs w:val="21"/>
              </w:rPr>
            </w:pPr>
            <w:r>
              <w:rPr>
                <w:rFonts w:hint="eastAsia"/>
                <w:szCs w:val="21"/>
              </w:rPr>
              <w:t>投标人应保证上述全部截图的真实性，如发现核查结果不一致则视为相关截图弄虚作假。投标人应当及时核查并更新上述网站公开的相关信息</w:t>
            </w:r>
            <w:r>
              <w:rPr>
                <w:szCs w:val="21"/>
              </w:rPr>
              <w:t>,并承担由于信息填报不完整或者不准确等原因导致投标可能被否决的后果。相关信息由投标人填报的,其真实性由投标人负责,经查证与事实不符的,视为投标过程中的弄虚作假行为,按相关规定处理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60" w:type="dxa"/>
            <w:gridSpan w:val="3"/>
            <w:vAlign w:val="center"/>
          </w:tcPr>
          <w:p>
            <w:pPr>
              <w:spacing w:line="360" w:lineRule="exact"/>
              <w:rPr>
                <w:rFonts w:ascii="宋体" w:hAnsi="宋体" w:cs="宋体"/>
                <w:szCs w:val="21"/>
              </w:rPr>
            </w:pPr>
            <w:r>
              <w:rPr>
                <w:rFonts w:hint="eastAsia" w:ascii="宋体" w:hAnsi="宋体" w:cs="宋体"/>
                <w:szCs w:val="21"/>
              </w:rPr>
              <w:t>需要补充的其他内容：无</w:t>
            </w:r>
          </w:p>
        </w:tc>
      </w:tr>
    </w:tbl>
    <w:p>
      <w:pPr>
        <w:pStyle w:val="6"/>
        <w:spacing w:line="360" w:lineRule="auto"/>
        <w:rPr>
          <w:rFonts w:hAnsi="宋体"/>
          <w:sz w:val="24"/>
        </w:rPr>
      </w:pPr>
    </w:p>
    <w:p>
      <w:pPr>
        <w:pStyle w:val="3"/>
      </w:pPr>
      <w:r>
        <w:rPr>
          <w:rFonts w:hint="eastAsia"/>
        </w:rPr>
        <w:t>具体评分标准如下：</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70"/>
        <w:gridCol w:w="755"/>
        <w:gridCol w:w="1849"/>
        <w:gridCol w:w="636"/>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4658" w:type="dxa"/>
            <w:gridSpan w:val="5"/>
            <w:vAlign w:val="center"/>
          </w:tcPr>
          <w:p>
            <w:pPr>
              <w:pStyle w:val="6"/>
              <w:spacing w:line="160" w:lineRule="atLeast"/>
              <w:jc w:val="center"/>
              <w:rPr>
                <w:rFonts w:hAnsi="宋体"/>
                <w:szCs w:val="21"/>
              </w:rPr>
            </w:pPr>
            <w:r>
              <w:rPr>
                <w:rFonts w:hint="eastAsia" w:hAnsi="宋体"/>
                <w:szCs w:val="21"/>
              </w:rPr>
              <w:t>评分因素与权重分值</w:t>
            </w:r>
          </w:p>
        </w:tc>
        <w:tc>
          <w:tcPr>
            <w:tcW w:w="4402" w:type="dxa"/>
            <w:vMerge w:val="restart"/>
            <w:vAlign w:val="center"/>
          </w:tcPr>
          <w:p>
            <w:pPr>
              <w:pStyle w:val="6"/>
              <w:spacing w:line="160" w:lineRule="atLeast"/>
              <w:jc w:val="center"/>
              <w:rPr>
                <w:rFonts w:hAnsi="宋体"/>
                <w:szCs w:val="21"/>
              </w:rPr>
            </w:pPr>
            <w:r>
              <w:rPr>
                <w:rFonts w:hint="eastAsia"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blHeader/>
          <w:jc w:val="center"/>
        </w:trPr>
        <w:tc>
          <w:tcPr>
            <w:tcW w:w="748" w:type="dxa"/>
            <w:vAlign w:val="center"/>
          </w:tcPr>
          <w:p>
            <w:pPr>
              <w:pStyle w:val="6"/>
              <w:spacing w:line="160" w:lineRule="atLeast"/>
              <w:jc w:val="center"/>
              <w:rPr>
                <w:rFonts w:hAnsi="宋体"/>
                <w:szCs w:val="21"/>
              </w:rPr>
            </w:pPr>
            <w:r>
              <w:rPr>
                <w:rFonts w:hint="eastAsia" w:hAnsi="宋体"/>
                <w:szCs w:val="21"/>
              </w:rPr>
              <w:t>条款号</w:t>
            </w:r>
          </w:p>
        </w:tc>
        <w:tc>
          <w:tcPr>
            <w:tcW w:w="670" w:type="dxa"/>
            <w:vAlign w:val="center"/>
          </w:tcPr>
          <w:p>
            <w:pPr>
              <w:pStyle w:val="6"/>
              <w:spacing w:line="160" w:lineRule="atLeast"/>
              <w:jc w:val="center"/>
              <w:rPr>
                <w:rFonts w:hAnsi="宋体"/>
                <w:szCs w:val="21"/>
              </w:rPr>
            </w:pPr>
            <w:r>
              <w:rPr>
                <w:rFonts w:hint="eastAsia" w:hAnsi="宋体"/>
                <w:szCs w:val="21"/>
              </w:rPr>
              <w:t>评分因素</w:t>
            </w:r>
          </w:p>
        </w:tc>
        <w:tc>
          <w:tcPr>
            <w:tcW w:w="755" w:type="dxa"/>
            <w:vAlign w:val="center"/>
          </w:tcPr>
          <w:p>
            <w:pPr>
              <w:pStyle w:val="6"/>
              <w:spacing w:line="160" w:lineRule="atLeast"/>
              <w:jc w:val="center"/>
              <w:rPr>
                <w:rFonts w:hAnsi="宋体"/>
                <w:szCs w:val="21"/>
              </w:rPr>
            </w:pPr>
            <w:r>
              <w:rPr>
                <w:rFonts w:hint="eastAsia" w:hAnsi="宋体"/>
                <w:szCs w:val="21"/>
              </w:rPr>
              <w:t>评分因素 权重分值</w:t>
            </w:r>
          </w:p>
        </w:tc>
        <w:tc>
          <w:tcPr>
            <w:tcW w:w="1849" w:type="dxa"/>
            <w:vAlign w:val="center"/>
          </w:tcPr>
          <w:p>
            <w:pPr>
              <w:pStyle w:val="6"/>
              <w:spacing w:line="160" w:lineRule="atLeast"/>
              <w:jc w:val="center"/>
              <w:rPr>
                <w:rFonts w:hAnsi="宋体"/>
                <w:szCs w:val="21"/>
              </w:rPr>
            </w:pPr>
            <w:r>
              <w:rPr>
                <w:rFonts w:hAnsi="宋体"/>
                <w:szCs w:val="21"/>
              </w:rPr>
              <w:t>各评分因素细分项</w:t>
            </w:r>
          </w:p>
        </w:tc>
        <w:tc>
          <w:tcPr>
            <w:tcW w:w="636" w:type="dxa"/>
            <w:vAlign w:val="center"/>
          </w:tcPr>
          <w:p>
            <w:pPr>
              <w:pStyle w:val="6"/>
              <w:spacing w:line="160" w:lineRule="atLeast"/>
              <w:jc w:val="center"/>
              <w:rPr>
                <w:rFonts w:hAnsi="宋体"/>
                <w:szCs w:val="21"/>
              </w:rPr>
            </w:pPr>
            <w:r>
              <w:rPr>
                <w:rFonts w:hint="eastAsia" w:hAnsi="宋体"/>
                <w:szCs w:val="21"/>
              </w:rPr>
              <w:t>分值</w:t>
            </w:r>
          </w:p>
        </w:tc>
        <w:tc>
          <w:tcPr>
            <w:tcW w:w="4402" w:type="dxa"/>
            <w:vMerge w:val="continue"/>
            <w:vAlign w:val="center"/>
          </w:tcPr>
          <w:p>
            <w:pPr>
              <w:pStyle w:val="6"/>
              <w:spacing w:line="16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restart"/>
            <w:vAlign w:val="center"/>
          </w:tcPr>
          <w:p>
            <w:pPr>
              <w:pStyle w:val="6"/>
              <w:spacing w:line="160" w:lineRule="atLeast"/>
              <w:jc w:val="center"/>
              <w:rPr>
                <w:rFonts w:hAnsi="宋体"/>
                <w:szCs w:val="21"/>
              </w:rPr>
            </w:pPr>
            <w:r>
              <w:rPr>
                <w:rFonts w:hint="eastAsia" w:hAnsi="宋体"/>
                <w:szCs w:val="21"/>
              </w:rPr>
              <w:t>2.2.4（1）</w:t>
            </w:r>
          </w:p>
        </w:tc>
        <w:tc>
          <w:tcPr>
            <w:tcW w:w="670" w:type="dxa"/>
            <w:vMerge w:val="restart"/>
            <w:vAlign w:val="center"/>
          </w:tcPr>
          <w:p>
            <w:pPr>
              <w:pStyle w:val="6"/>
              <w:spacing w:line="160" w:lineRule="atLeast"/>
              <w:jc w:val="center"/>
              <w:rPr>
                <w:rFonts w:hAnsi="宋体"/>
                <w:szCs w:val="21"/>
              </w:rPr>
            </w:pPr>
            <w:r>
              <w:rPr>
                <w:rFonts w:hint="eastAsia" w:hAnsi="宋体"/>
                <w:szCs w:val="21"/>
              </w:rPr>
              <w:t>技术建议书</w:t>
            </w:r>
          </w:p>
        </w:tc>
        <w:tc>
          <w:tcPr>
            <w:tcW w:w="755" w:type="dxa"/>
            <w:vMerge w:val="restart"/>
            <w:vAlign w:val="center"/>
          </w:tcPr>
          <w:p>
            <w:pPr>
              <w:pStyle w:val="6"/>
              <w:spacing w:line="160" w:lineRule="atLeast"/>
              <w:jc w:val="center"/>
              <w:rPr>
                <w:rFonts w:hAnsi="宋体"/>
                <w:szCs w:val="21"/>
              </w:rPr>
            </w:pPr>
            <w:r>
              <w:rPr>
                <w:rFonts w:hint="eastAsia" w:hAnsi="宋体"/>
                <w:szCs w:val="21"/>
              </w:rPr>
              <w:t>35分</w:t>
            </w:r>
          </w:p>
        </w:tc>
        <w:tc>
          <w:tcPr>
            <w:tcW w:w="1849" w:type="dxa"/>
            <w:vMerge w:val="restart"/>
            <w:vAlign w:val="center"/>
          </w:tcPr>
          <w:p>
            <w:pPr>
              <w:pStyle w:val="6"/>
              <w:spacing w:line="160" w:lineRule="atLeast"/>
              <w:jc w:val="center"/>
              <w:rPr>
                <w:rFonts w:hAnsi="宋体"/>
                <w:szCs w:val="21"/>
              </w:rPr>
            </w:pPr>
            <w:r>
              <w:rPr>
                <w:rFonts w:hint="eastAsia" w:hAnsi="宋体"/>
                <w:szCs w:val="21"/>
              </w:rPr>
              <w:t>检测工作大纲</w:t>
            </w:r>
          </w:p>
          <w:p>
            <w:pPr>
              <w:pStyle w:val="6"/>
              <w:spacing w:line="160" w:lineRule="atLeast"/>
              <w:jc w:val="center"/>
              <w:rPr>
                <w:rFonts w:hAnsi="宋体"/>
                <w:szCs w:val="21"/>
              </w:rPr>
            </w:pPr>
            <w:r>
              <w:rPr>
                <w:rFonts w:hint="eastAsia" w:hAnsi="宋体"/>
                <w:szCs w:val="21"/>
              </w:rPr>
              <w:t>6分</w:t>
            </w:r>
          </w:p>
        </w:tc>
        <w:tc>
          <w:tcPr>
            <w:tcW w:w="636" w:type="dxa"/>
            <w:vMerge w:val="restart"/>
            <w:vAlign w:val="center"/>
          </w:tcPr>
          <w:p>
            <w:pPr>
              <w:pStyle w:val="6"/>
              <w:spacing w:line="160" w:lineRule="atLeast"/>
              <w:jc w:val="center"/>
              <w:rPr>
                <w:rFonts w:hAnsi="宋体"/>
                <w:szCs w:val="21"/>
              </w:rPr>
            </w:pPr>
            <w:r>
              <w:rPr>
                <w:rFonts w:hint="eastAsia" w:hAnsi="宋体"/>
                <w:szCs w:val="21"/>
              </w:rPr>
              <w:t>6分</w:t>
            </w:r>
          </w:p>
        </w:tc>
        <w:tc>
          <w:tcPr>
            <w:tcW w:w="4402" w:type="dxa"/>
            <w:vAlign w:val="center"/>
          </w:tcPr>
          <w:p>
            <w:pPr>
              <w:pStyle w:val="6"/>
              <w:spacing w:line="160" w:lineRule="atLeast"/>
              <w:jc w:val="left"/>
              <w:rPr>
                <w:rFonts w:hAnsi="宋体"/>
                <w:szCs w:val="21"/>
              </w:rPr>
            </w:pPr>
            <w:r>
              <w:rPr>
                <w:rFonts w:hint="eastAsia" w:hAnsi="宋体"/>
                <w:szCs w:val="21"/>
              </w:rPr>
              <w:t>科学先进，措施完善，可操作性强得4.8-6分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合理，可行得3.6-4.8分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缺项或</w:t>
            </w:r>
            <w:r>
              <w:rPr>
                <w:rFonts w:hAnsi="宋体"/>
                <w:szCs w:val="21"/>
              </w:rPr>
              <w:t>不合理</w:t>
            </w:r>
            <w:r>
              <w:rPr>
                <w:rFonts w:hint="eastAsia" w:hAnsi="宋体"/>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restart"/>
            <w:vAlign w:val="center"/>
          </w:tcPr>
          <w:p>
            <w:pPr>
              <w:pStyle w:val="6"/>
              <w:spacing w:line="160" w:lineRule="atLeast"/>
              <w:jc w:val="center"/>
              <w:rPr>
                <w:rFonts w:hAnsi="宋体"/>
                <w:szCs w:val="21"/>
              </w:rPr>
            </w:pPr>
            <w:r>
              <w:rPr>
                <w:rFonts w:hint="eastAsia" w:hAnsi="宋体"/>
                <w:szCs w:val="21"/>
              </w:rPr>
              <w:t>质量、进度、安全保证措施</w:t>
            </w:r>
          </w:p>
          <w:p>
            <w:pPr>
              <w:pStyle w:val="6"/>
              <w:spacing w:line="160" w:lineRule="atLeast"/>
              <w:jc w:val="center"/>
              <w:rPr>
                <w:rFonts w:hAnsi="宋体"/>
                <w:szCs w:val="21"/>
              </w:rPr>
            </w:pPr>
            <w:r>
              <w:rPr>
                <w:rFonts w:hint="eastAsia" w:hAnsi="宋体"/>
                <w:szCs w:val="21"/>
              </w:rPr>
              <w:t>6分</w:t>
            </w:r>
          </w:p>
        </w:tc>
        <w:tc>
          <w:tcPr>
            <w:tcW w:w="636" w:type="dxa"/>
            <w:vMerge w:val="restart"/>
            <w:vAlign w:val="center"/>
          </w:tcPr>
          <w:p>
            <w:pPr>
              <w:pStyle w:val="6"/>
              <w:spacing w:line="160" w:lineRule="atLeast"/>
              <w:jc w:val="center"/>
              <w:rPr>
                <w:rFonts w:hAnsi="宋体"/>
                <w:szCs w:val="21"/>
              </w:rPr>
            </w:pPr>
            <w:r>
              <w:rPr>
                <w:rFonts w:hint="eastAsia" w:hAnsi="宋体"/>
                <w:szCs w:val="21"/>
              </w:rPr>
              <w:t>6分</w:t>
            </w:r>
          </w:p>
        </w:tc>
        <w:tc>
          <w:tcPr>
            <w:tcW w:w="4402" w:type="dxa"/>
            <w:vAlign w:val="center"/>
          </w:tcPr>
          <w:p>
            <w:pPr>
              <w:pStyle w:val="6"/>
              <w:spacing w:line="160" w:lineRule="atLeast"/>
              <w:jc w:val="left"/>
              <w:rPr>
                <w:rFonts w:hAnsi="宋体"/>
                <w:szCs w:val="21"/>
              </w:rPr>
            </w:pPr>
            <w:r>
              <w:rPr>
                <w:rFonts w:hint="eastAsia" w:hAnsi="宋体"/>
                <w:szCs w:val="21"/>
              </w:rPr>
              <w:t>科学先进，措施完善，可操作性强得4.8-6分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合理，可行得3.6-4.8分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缺项或</w:t>
            </w:r>
            <w:r>
              <w:rPr>
                <w:rFonts w:hAnsi="宋体"/>
                <w:szCs w:val="21"/>
              </w:rPr>
              <w:t>不合理</w:t>
            </w:r>
            <w:r>
              <w:rPr>
                <w:rFonts w:hint="eastAsia" w:hAnsi="宋体"/>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restart"/>
            <w:vAlign w:val="center"/>
          </w:tcPr>
          <w:p>
            <w:pPr>
              <w:pStyle w:val="6"/>
              <w:spacing w:line="160" w:lineRule="atLeast"/>
              <w:jc w:val="center"/>
              <w:rPr>
                <w:rFonts w:hAnsi="宋体"/>
                <w:szCs w:val="21"/>
              </w:rPr>
            </w:pPr>
            <w:r>
              <w:rPr>
                <w:rFonts w:hint="eastAsia" w:hAnsi="宋体"/>
                <w:szCs w:val="21"/>
              </w:rPr>
              <w:t>工程质量检测工作流程</w:t>
            </w:r>
          </w:p>
          <w:p>
            <w:pPr>
              <w:pStyle w:val="6"/>
              <w:spacing w:line="160" w:lineRule="atLeast"/>
              <w:jc w:val="center"/>
              <w:rPr>
                <w:rFonts w:hAnsi="宋体"/>
                <w:szCs w:val="21"/>
              </w:rPr>
            </w:pPr>
            <w:r>
              <w:rPr>
                <w:rFonts w:hint="eastAsia" w:hAnsi="宋体"/>
                <w:szCs w:val="21"/>
              </w:rPr>
              <w:t>6分</w:t>
            </w:r>
          </w:p>
        </w:tc>
        <w:tc>
          <w:tcPr>
            <w:tcW w:w="636" w:type="dxa"/>
            <w:vMerge w:val="restart"/>
            <w:vAlign w:val="center"/>
          </w:tcPr>
          <w:p>
            <w:pPr>
              <w:pStyle w:val="6"/>
              <w:spacing w:line="160" w:lineRule="atLeast"/>
              <w:jc w:val="center"/>
              <w:rPr>
                <w:rFonts w:hAnsi="宋体"/>
                <w:szCs w:val="21"/>
              </w:rPr>
            </w:pPr>
            <w:r>
              <w:rPr>
                <w:rFonts w:hint="eastAsia" w:hAnsi="宋体"/>
                <w:szCs w:val="21"/>
              </w:rPr>
              <w:t>6分</w:t>
            </w:r>
          </w:p>
        </w:tc>
        <w:tc>
          <w:tcPr>
            <w:tcW w:w="4402" w:type="dxa"/>
            <w:vAlign w:val="center"/>
          </w:tcPr>
          <w:p>
            <w:pPr>
              <w:pStyle w:val="6"/>
              <w:spacing w:line="160" w:lineRule="atLeast"/>
              <w:jc w:val="left"/>
              <w:rPr>
                <w:rFonts w:hAnsi="宋体"/>
                <w:szCs w:val="21"/>
              </w:rPr>
            </w:pPr>
            <w:r>
              <w:rPr>
                <w:rFonts w:hint="eastAsia" w:hAnsi="宋体"/>
                <w:szCs w:val="21"/>
              </w:rPr>
              <w:t>科学先进，措施完善，可操作性强得4.8-6分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合理，可行得3.6-4.8分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缺项或</w:t>
            </w:r>
            <w:r>
              <w:rPr>
                <w:rFonts w:hAnsi="宋体"/>
                <w:szCs w:val="21"/>
              </w:rPr>
              <w:t>不合理</w:t>
            </w:r>
            <w:r>
              <w:rPr>
                <w:rFonts w:hint="eastAsia" w:hAnsi="宋体"/>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restart"/>
            <w:vAlign w:val="center"/>
          </w:tcPr>
          <w:p>
            <w:pPr>
              <w:pStyle w:val="6"/>
              <w:spacing w:line="160" w:lineRule="atLeast"/>
              <w:jc w:val="center"/>
              <w:rPr>
                <w:rFonts w:hAnsi="宋体"/>
                <w:szCs w:val="21"/>
              </w:rPr>
            </w:pPr>
            <w:r>
              <w:rPr>
                <w:rFonts w:hint="eastAsia" w:hAnsi="宋体"/>
                <w:szCs w:val="21"/>
              </w:rPr>
              <w:t>对检测出的问题类型提出切实可行的处理建议和维修方案</w:t>
            </w:r>
          </w:p>
          <w:p>
            <w:pPr>
              <w:pStyle w:val="6"/>
              <w:spacing w:line="160" w:lineRule="atLeast"/>
              <w:jc w:val="center"/>
              <w:rPr>
                <w:rFonts w:hAnsi="宋体"/>
                <w:szCs w:val="21"/>
              </w:rPr>
            </w:pPr>
            <w:r>
              <w:rPr>
                <w:rFonts w:hint="eastAsia" w:hAnsi="宋体"/>
                <w:szCs w:val="21"/>
              </w:rPr>
              <w:t>6分</w:t>
            </w:r>
          </w:p>
        </w:tc>
        <w:tc>
          <w:tcPr>
            <w:tcW w:w="636" w:type="dxa"/>
            <w:vMerge w:val="restart"/>
            <w:vAlign w:val="center"/>
          </w:tcPr>
          <w:p>
            <w:pPr>
              <w:pStyle w:val="6"/>
              <w:spacing w:line="160" w:lineRule="atLeast"/>
              <w:jc w:val="center"/>
              <w:rPr>
                <w:rFonts w:hAnsi="宋体"/>
                <w:szCs w:val="21"/>
              </w:rPr>
            </w:pPr>
            <w:r>
              <w:rPr>
                <w:rFonts w:hint="eastAsia" w:hAnsi="宋体"/>
                <w:szCs w:val="21"/>
              </w:rPr>
              <w:t>6分</w:t>
            </w:r>
          </w:p>
        </w:tc>
        <w:tc>
          <w:tcPr>
            <w:tcW w:w="4402" w:type="dxa"/>
            <w:vAlign w:val="center"/>
          </w:tcPr>
          <w:p>
            <w:pPr>
              <w:pStyle w:val="6"/>
              <w:spacing w:line="160" w:lineRule="atLeast"/>
              <w:jc w:val="left"/>
              <w:rPr>
                <w:rFonts w:hAnsi="宋体"/>
                <w:szCs w:val="21"/>
              </w:rPr>
            </w:pPr>
            <w:r>
              <w:rPr>
                <w:rFonts w:hint="eastAsia" w:hAnsi="宋体"/>
                <w:szCs w:val="21"/>
              </w:rPr>
              <w:t>科学先进，措施完善，可操作性强得4.8-6分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合理，可行得3.6-4.8分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缺项或</w:t>
            </w:r>
            <w:r>
              <w:rPr>
                <w:rFonts w:hAnsi="宋体"/>
                <w:szCs w:val="21"/>
              </w:rPr>
              <w:t>不合理</w:t>
            </w:r>
            <w:r>
              <w:rPr>
                <w:rFonts w:hint="eastAsia" w:hAnsi="宋体"/>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restart"/>
            <w:vAlign w:val="center"/>
          </w:tcPr>
          <w:p>
            <w:pPr>
              <w:pStyle w:val="6"/>
              <w:spacing w:line="160" w:lineRule="atLeast"/>
              <w:jc w:val="center"/>
              <w:rPr>
                <w:rFonts w:hAnsi="宋体"/>
                <w:szCs w:val="21"/>
              </w:rPr>
            </w:pPr>
            <w:r>
              <w:rPr>
                <w:rFonts w:hint="eastAsia" w:hAnsi="宋体"/>
                <w:szCs w:val="21"/>
              </w:rPr>
              <w:t>承诺出具的检测成果及后续服务</w:t>
            </w:r>
          </w:p>
          <w:p>
            <w:pPr>
              <w:pStyle w:val="6"/>
              <w:spacing w:line="160" w:lineRule="atLeast"/>
              <w:jc w:val="center"/>
              <w:rPr>
                <w:rFonts w:hAnsi="宋体"/>
                <w:szCs w:val="21"/>
              </w:rPr>
            </w:pPr>
            <w:r>
              <w:rPr>
                <w:rFonts w:hint="eastAsia" w:hAnsi="宋体"/>
                <w:szCs w:val="21"/>
              </w:rPr>
              <w:t>6分</w:t>
            </w:r>
          </w:p>
        </w:tc>
        <w:tc>
          <w:tcPr>
            <w:tcW w:w="636" w:type="dxa"/>
            <w:vMerge w:val="restart"/>
            <w:vAlign w:val="center"/>
          </w:tcPr>
          <w:p>
            <w:pPr>
              <w:pStyle w:val="6"/>
              <w:spacing w:line="160" w:lineRule="atLeast"/>
              <w:jc w:val="center"/>
              <w:rPr>
                <w:rFonts w:hAnsi="宋体"/>
                <w:szCs w:val="21"/>
              </w:rPr>
            </w:pPr>
            <w:r>
              <w:rPr>
                <w:rFonts w:hint="eastAsia" w:hAnsi="宋体"/>
                <w:szCs w:val="21"/>
              </w:rPr>
              <w:t>6分</w:t>
            </w:r>
          </w:p>
        </w:tc>
        <w:tc>
          <w:tcPr>
            <w:tcW w:w="4402" w:type="dxa"/>
            <w:vAlign w:val="center"/>
          </w:tcPr>
          <w:p>
            <w:pPr>
              <w:pStyle w:val="6"/>
              <w:spacing w:line="160" w:lineRule="atLeast"/>
              <w:jc w:val="left"/>
              <w:rPr>
                <w:rFonts w:hAnsi="宋体"/>
                <w:szCs w:val="21"/>
              </w:rPr>
            </w:pPr>
            <w:r>
              <w:rPr>
                <w:rFonts w:hint="eastAsia" w:hAnsi="宋体"/>
                <w:szCs w:val="21"/>
              </w:rPr>
              <w:t>检测成果符合国家规范要求，后续服务完善得4.8-6分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检测成果符合国家规范要求，后续服务较完善得3.6-4.8分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restart"/>
            <w:vAlign w:val="center"/>
          </w:tcPr>
          <w:p>
            <w:pPr>
              <w:pStyle w:val="6"/>
              <w:spacing w:line="160" w:lineRule="atLeast"/>
              <w:jc w:val="center"/>
              <w:rPr>
                <w:rFonts w:hAnsi="宋体"/>
                <w:szCs w:val="21"/>
              </w:rPr>
            </w:pPr>
            <w:r>
              <w:rPr>
                <w:rFonts w:hint="eastAsia" w:hAnsi="宋体"/>
                <w:szCs w:val="21"/>
              </w:rPr>
              <w:t>重点、难点分析</w:t>
            </w:r>
          </w:p>
          <w:p>
            <w:pPr>
              <w:pStyle w:val="6"/>
              <w:spacing w:line="160" w:lineRule="atLeast"/>
              <w:jc w:val="center"/>
              <w:rPr>
                <w:rFonts w:hAnsi="宋体"/>
                <w:szCs w:val="21"/>
              </w:rPr>
            </w:pPr>
            <w:r>
              <w:rPr>
                <w:rFonts w:hint="eastAsia" w:hAnsi="宋体"/>
                <w:szCs w:val="21"/>
              </w:rPr>
              <w:t>5分</w:t>
            </w:r>
          </w:p>
        </w:tc>
        <w:tc>
          <w:tcPr>
            <w:tcW w:w="636" w:type="dxa"/>
            <w:vMerge w:val="restart"/>
            <w:vAlign w:val="center"/>
          </w:tcPr>
          <w:p>
            <w:pPr>
              <w:pStyle w:val="6"/>
              <w:spacing w:line="160" w:lineRule="atLeast"/>
              <w:jc w:val="center"/>
              <w:rPr>
                <w:rFonts w:hAnsi="宋体"/>
                <w:szCs w:val="21"/>
              </w:rPr>
            </w:pPr>
            <w:r>
              <w:rPr>
                <w:rFonts w:hint="eastAsia" w:hAnsi="宋体"/>
                <w:szCs w:val="21"/>
              </w:rPr>
              <w:t>5分</w:t>
            </w:r>
          </w:p>
        </w:tc>
        <w:tc>
          <w:tcPr>
            <w:tcW w:w="4402" w:type="dxa"/>
            <w:vAlign w:val="center"/>
          </w:tcPr>
          <w:p>
            <w:pPr>
              <w:pStyle w:val="6"/>
              <w:spacing w:line="160" w:lineRule="atLeast"/>
              <w:jc w:val="left"/>
              <w:rPr>
                <w:rFonts w:hAnsi="宋体"/>
                <w:szCs w:val="21"/>
              </w:rPr>
            </w:pPr>
            <w:r>
              <w:rPr>
                <w:rFonts w:hint="eastAsia" w:hAnsi="宋体"/>
                <w:szCs w:val="21"/>
              </w:rPr>
              <w:t>科学先进，措施完善，可操作性强得</w:t>
            </w:r>
            <w:r>
              <w:rPr>
                <w:rFonts w:hAnsi="宋体"/>
                <w:szCs w:val="21"/>
              </w:rPr>
              <w:t>4</w:t>
            </w:r>
            <w:r>
              <w:rPr>
                <w:rFonts w:hint="eastAsia"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合理，可行得3-4分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vAlign w:val="center"/>
          </w:tcPr>
          <w:p>
            <w:pPr>
              <w:pStyle w:val="6"/>
              <w:spacing w:line="160" w:lineRule="atLeast"/>
              <w:jc w:val="left"/>
              <w:rPr>
                <w:rFonts w:hAnsi="宋体"/>
                <w:szCs w:val="21"/>
              </w:rPr>
            </w:pPr>
            <w:r>
              <w:rPr>
                <w:rFonts w:hint="eastAsia"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Merge w:val="restart"/>
            <w:tcBorders>
              <w:top w:val="nil"/>
            </w:tcBorders>
            <w:vAlign w:val="center"/>
          </w:tcPr>
          <w:p>
            <w:pPr>
              <w:pStyle w:val="6"/>
              <w:spacing w:line="160" w:lineRule="atLeast"/>
              <w:jc w:val="center"/>
              <w:rPr>
                <w:rFonts w:hAnsi="宋体"/>
                <w:szCs w:val="21"/>
              </w:rPr>
            </w:pPr>
            <w:r>
              <w:rPr>
                <w:rFonts w:hint="eastAsia" w:hAnsi="宋体"/>
                <w:szCs w:val="21"/>
              </w:rPr>
              <w:t>2.2.4（2）</w:t>
            </w:r>
          </w:p>
        </w:tc>
        <w:tc>
          <w:tcPr>
            <w:tcW w:w="670" w:type="dxa"/>
            <w:vMerge w:val="restart"/>
            <w:tcBorders>
              <w:top w:val="nil"/>
            </w:tcBorders>
            <w:vAlign w:val="center"/>
          </w:tcPr>
          <w:p>
            <w:pPr>
              <w:pStyle w:val="6"/>
              <w:spacing w:line="160" w:lineRule="atLeast"/>
              <w:jc w:val="center"/>
              <w:rPr>
                <w:rFonts w:hAnsi="宋体"/>
                <w:szCs w:val="21"/>
              </w:rPr>
            </w:pPr>
            <w:r>
              <w:rPr>
                <w:rFonts w:hint="eastAsia" w:hAnsi="宋体"/>
                <w:szCs w:val="21"/>
              </w:rPr>
              <w:t>主要人员</w:t>
            </w:r>
          </w:p>
        </w:tc>
        <w:tc>
          <w:tcPr>
            <w:tcW w:w="755" w:type="dxa"/>
            <w:vMerge w:val="restart"/>
            <w:tcBorders>
              <w:top w:val="nil"/>
            </w:tcBorders>
            <w:vAlign w:val="center"/>
          </w:tcPr>
          <w:p>
            <w:pPr>
              <w:pStyle w:val="6"/>
              <w:spacing w:line="160" w:lineRule="atLeast"/>
              <w:jc w:val="center"/>
              <w:rPr>
                <w:rFonts w:hAnsi="宋体"/>
                <w:szCs w:val="21"/>
              </w:rPr>
            </w:pPr>
            <w:r>
              <w:rPr>
                <w:rFonts w:hint="eastAsia" w:hAnsi="宋体"/>
                <w:szCs w:val="21"/>
              </w:rPr>
              <w:t>25分</w:t>
            </w:r>
          </w:p>
        </w:tc>
        <w:tc>
          <w:tcPr>
            <w:tcW w:w="1849" w:type="dxa"/>
            <w:vMerge w:val="restart"/>
            <w:vAlign w:val="center"/>
          </w:tcPr>
          <w:p>
            <w:pPr>
              <w:pStyle w:val="6"/>
              <w:spacing w:line="160" w:lineRule="atLeast"/>
              <w:jc w:val="center"/>
              <w:rPr>
                <w:rFonts w:hAnsi="宋体"/>
                <w:szCs w:val="21"/>
              </w:rPr>
            </w:pPr>
            <w:r>
              <w:rPr>
                <w:rFonts w:hint="eastAsia" w:hAnsi="宋体"/>
                <w:szCs w:val="21"/>
              </w:rPr>
              <w:t>项目负责人</w:t>
            </w:r>
          </w:p>
        </w:tc>
        <w:tc>
          <w:tcPr>
            <w:tcW w:w="636" w:type="dxa"/>
            <w:vMerge w:val="restart"/>
            <w:vAlign w:val="center"/>
          </w:tcPr>
          <w:p>
            <w:pPr>
              <w:pStyle w:val="6"/>
              <w:spacing w:line="160" w:lineRule="atLeast"/>
              <w:jc w:val="center"/>
              <w:rPr>
                <w:rFonts w:hAnsi="宋体"/>
                <w:szCs w:val="21"/>
              </w:rPr>
            </w:pPr>
            <w:r>
              <w:rPr>
                <w:rFonts w:hint="eastAsia" w:hAnsi="宋体"/>
                <w:szCs w:val="21"/>
              </w:rPr>
              <w:t>25分</w:t>
            </w:r>
          </w:p>
        </w:tc>
        <w:tc>
          <w:tcPr>
            <w:tcW w:w="4402" w:type="dxa"/>
            <w:tcBorders>
              <w:bottom w:val="single" w:color="auto" w:sz="4" w:space="0"/>
            </w:tcBorders>
            <w:vAlign w:val="center"/>
          </w:tcPr>
          <w:p>
            <w:pPr>
              <w:jc w:val="left"/>
              <w:rPr>
                <w:rFonts w:ascii="宋体" w:hAnsi="宋体"/>
                <w:szCs w:val="21"/>
              </w:rPr>
            </w:pPr>
            <w:r>
              <w:rPr>
                <w:rFonts w:hint="eastAsia" w:ascii="宋体" w:hAnsi="宋体"/>
                <w:szCs w:val="21"/>
              </w:rPr>
              <w:t>满足资格审查条件要求得15分；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vAlign w:val="center"/>
          </w:tcPr>
          <w:p>
            <w:pPr>
              <w:pStyle w:val="6"/>
              <w:spacing w:line="160" w:lineRule="atLeast"/>
              <w:jc w:val="center"/>
              <w:rPr>
                <w:rFonts w:hAnsi="宋体"/>
                <w:szCs w:val="21"/>
              </w:rPr>
            </w:pPr>
          </w:p>
        </w:tc>
        <w:tc>
          <w:tcPr>
            <w:tcW w:w="636" w:type="dxa"/>
            <w:vMerge w:val="continue"/>
            <w:vAlign w:val="center"/>
          </w:tcPr>
          <w:p>
            <w:pPr>
              <w:pStyle w:val="6"/>
              <w:spacing w:line="160" w:lineRule="atLeast"/>
              <w:jc w:val="center"/>
              <w:rPr>
                <w:rFonts w:hAnsi="宋体"/>
                <w:szCs w:val="21"/>
              </w:rPr>
            </w:pPr>
          </w:p>
        </w:tc>
        <w:tc>
          <w:tcPr>
            <w:tcW w:w="4402" w:type="dxa"/>
            <w:tcBorders>
              <w:bottom w:val="single" w:color="auto" w:sz="4" w:space="0"/>
            </w:tcBorders>
            <w:vAlign w:val="center"/>
          </w:tcPr>
          <w:p>
            <w:pPr>
              <w:jc w:val="left"/>
              <w:rPr>
                <w:rFonts w:ascii="宋体" w:hAnsi="宋体"/>
                <w:szCs w:val="21"/>
              </w:rPr>
            </w:pPr>
            <w:r>
              <w:rPr>
                <w:spacing w:val="-5"/>
              </w:rPr>
              <w:t>项目负责人</w:t>
            </w:r>
            <w:r>
              <w:rPr>
                <w:rFonts w:hint="eastAsia"/>
                <w:spacing w:val="-5"/>
              </w:rPr>
              <w:t>每增</w:t>
            </w:r>
            <w:r>
              <w:rPr>
                <w:rFonts w:hint="eastAsia" w:hAnsi="宋体"/>
                <w:szCs w:val="21"/>
              </w:rPr>
              <w:t>加1项满足</w:t>
            </w:r>
            <w:r>
              <w:rPr>
                <w:rFonts w:hint="eastAsia"/>
                <w:spacing w:val="-5"/>
              </w:rPr>
              <w:t>资格审查条件(项目负责人最低要求)</w:t>
            </w:r>
            <w:r>
              <w:rPr>
                <w:rFonts w:hint="eastAsia" w:hAnsi="宋体"/>
                <w:szCs w:val="21"/>
              </w:rPr>
              <w:t>的业绩</w:t>
            </w:r>
            <w:r>
              <w:rPr>
                <w:rFonts w:hint="eastAsia" w:hAnsi="宋体" w:cs="宋体"/>
                <w:kern w:val="0"/>
                <w:szCs w:val="21"/>
              </w:rPr>
              <w:t>加5分，本项最多加10分。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tcBorders>
              <w:top w:val="nil"/>
            </w:tcBorders>
            <w:vAlign w:val="center"/>
          </w:tcPr>
          <w:p>
            <w:pPr>
              <w:pStyle w:val="6"/>
              <w:spacing w:line="160" w:lineRule="atLeast"/>
              <w:jc w:val="center"/>
              <w:rPr>
                <w:rFonts w:hAnsi="宋体"/>
                <w:szCs w:val="21"/>
              </w:rPr>
            </w:pPr>
            <w:r>
              <w:rPr>
                <w:rFonts w:hint="eastAsia" w:hAnsi="宋体"/>
                <w:szCs w:val="21"/>
              </w:rPr>
              <w:t>2.2.4（3）</w:t>
            </w:r>
          </w:p>
        </w:tc>
        <w:tc>
          <w:tcPr>
            <w:tcW w:w="670" w:type="dxa"/>
            <w:tcBorders>
              <w:top w:val="nil"/>
            </w:tcBorders>
            <w:vAlign w:val="center"/>
          </w:tcPr>
          <w:p>
            <w:pPr>
              <w:pStyle w:val="6"/>
              <w:spacing w:line="160" w:lineRule="atLeast"/>
              <w:jc w:val="center"/>
              <w:rPr>
                <w:rFonts w:hAnsi="宋体"/>
                <w:szCs w:val="21"/>
              </w:rPr>
            </w:pPr>
            <w:r>
              <w:rPr>
                <w:rFonts w:hint="eastAsia" w:hAnsi="宋体"/>
                <w:szCs w:val="21"/>
              </w:rPr>
              <w:t>评标价</w:t>
            </w:r>
          </w:p>
        </w:tc>
        <w:tc>
          <w:tcPr>
            <w:tcW w:w="755" w:type="dxa"/>
            <w:tcBorders>
              <w:top w:val="nil"/>
              <w:bottom w:val="single" w:color="auto" w:sz="4" w:space="0"/>
            </w:tcBorders>
            <w:vAlign w:val="center"/>
          </w:tcPr>
          <w:p>
            <w:pPr>
              <w:pStyle w:val="6"/>
              <w:spacing w:line="160" w:lineRule="atLeast"/>
              <w:jc w:val="center"/>
              <w:rPr>
                <w:rFonts w:hAnsi="宋体"/>
                <w:szCs w:val="21"/>
              </w:rPr>
            </w:pPr>
            <w:r>
              <w:rPr>
                <w:rFonts w:hint="eastAsia" w:hAnsi="宋体"/>
                <w:szCs w:val="21"/>
              </w:rPr>
              <w:t>10分</w:t>
            </w:r>
          </w:p>
        </w:tc>
        <w:tc>
          <w:tcPr>
            <w:tcW w:w="6887" w:type="dxa"/>
            <w:gridSpan w:val="3"/>
            <w:tcBorders>
              <w:bottom w:val="single" w:color="auto" w:sz="4" w:space="0"/>
            </w:tcBorders>
            <w:vAlign w:val="center"/>
          </w:tcPr>
          <w:p>
            <w:pPr>
              <w:jc w:val="left"/>
              <w:rPr>
                <w:rFonts w:ascii="宋体" w:hAnsi="宋体"/>
                <w:szCs w:val="21"/>
              </w:rPr>
            </w:pPr>
            <w:r>
              <w:rPr>
                <w:rFonts w:hint="eastAsia" w:ascii="宋体" w:hAnsi="宋体"/>
                <w:szCs w:val="21"/>
              </w:rPr>
              <w:t>评标价得分计算公式示例：</w:t>
            </w:r>
          </w:p>
          <w:p>
            <w:pPr>
              <w:jc w:val="left"/>
              <w:rPr>
                <w:rFonts w:ascii="宋体" w:hAnsi="宋体"/>
                <w:szCs w:val="21"/>
              </w:rPr>
            </w:pPr>
            <w:r>
              <w:rPr>
                <w:rFonts w:hint="eastAsia" w:ascii="宋体" w:hAnsi="宋体"/>
                <w:szCs w:val="21"/>
              </w:rPr>
              <w:t>（1）如果投标人的评标价＞评标基准价，则评标价得分=F-（投标人评标价-评标基准价）/评标基准价×100×E1；</w:t>
            </w:r>
          </w:p>
          <w:p>
            <w:pPr>
              <w:jc w:val="left"/>
              <w:rPr>
                <w:rFonts w:ascii="宋体" w:hAnsi="宋体"/>
                <w:szCs w:val="21"/>
              </w:rPr>
            </w:pPr>
            <w:r>
              <w:rPr>
                <w:rFonts w:hint="eastAsia" w:ascii="宋体" w:hAnsi="宋体"/>
                <w:szCs w:val="21"/>
              </w:rPr>
              <w:t>（2）如果投标人的评标价≤评标基准价，则评标价得分=F+(投标人评标价-评标基准价)/评标基准价×100×E2。</w:t>
            </w:r>
          </w:p>
          <w:p>
            <w:pPr>
              <w:pStyle w:val="15"/>
              <w:shd w:val="clear" w:color="auto" w:fill="auto"/>
              <w:spacing w:before="0" w:line="360" w:lineRule="exact"/>
              <w:jc w:val="both"/>
              <w:rPr>
                <w:szCs w:val="21"/>
              </w:rPr>
            </w:pPr>
            <w:r>
              <w:rPr>
                <w:rFonts w:hint="eastAsia"/>
                <w:szCs w:val="21"/>
              </w:rPr>
              <w:t>其中，F=10；E1=0.2；E2=0.1；评标价最低得分为0分。</w:t>
            </w:r>
          </w:p>
          <w:p>
            <w:pPr>
              <w:pStyle w:val="15"/>
              <w:shd w:val="clear" w:color="auto" w:fill="auto"/>
              <w:spacing w:before="0" w:line="360" w:lineRule="exact"/>
              <w:jc w:val="both"/>
              <w:rPr>
                <w:sz w:val="21"/>
                <w:szCs w:val="21"/>
              </w:rPr>
            </w:pPr>
            <w:r>
              <w:rPr>
                <w:sz w:val="21"/>
                <w:szCs w:val="21"/>
              </w:rPr>
              <w:t>评标价得分分值计算保留小数点后两位，小数点后第三位“四舍五入”。</w:t>
            </w: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Merge w:val="restart"/>
            <w:vAlign w:val="center"/>
          </w:tcPr>
          <w:p>
            <w:pPr>
              <w:pStyle w:val="6"/>
              <w:spacing w:line="160" w:lineRule="atLeast"/>
              <w:jc w:val="center"/>
              <w:rPr>
                <w:rFonts w:hAnsi="宋体"/>
                <w:szCs w:val="21"/>
              </w:rPr>
            </w:pPr>
            <w:r>
              <w:rPr>
                <w:rFonts w:hint="eastAsia" w:hAnsi="宋体"/>
                <w:szCs w:val="21"/>
              </w:rPr>
              <w:t>2.2.4（4）</w:t>
            </w:r>
          </w:p>
        </w:tc>
        <w:tc>
          <w:tcPr>
            <w:tcW w:w="670" w:type="dxa"/>
            <w:vMerge w:val="restart"/>
            <w:vAlign w:val="center"/>
          </w:tcPr>
          <w:p>
            <w:pPr>
              <w:pStyle w:val="6"/>
              <w:spacing w:line="160" w:lineRule="atLeast"/>
              <w:jc w:val="center"/>
              <w:rPr>
                <w:rFonts w:hAnsi="宋体"/>
                <w:szCs w:val="21"/>
              </w:rPr>
            </w:pPr>
            <w:r>
              <w:rPr>
                <w:rFonts w:hint="eastAsia" w:hAnsi="宋体"/>
                <w:szCs w:val="21"/>
              </w:rPr>
              <w:t>其他因素</w:t>
            </w:r>
          </w:p>
        </w:tc>
        <w:tc>
          <w:tcPr>
            <w:tcW w:w="755" w:type="dxa"/>
            <w:vMerge w:val="restart"/>
            <w:tcBorders>
              <w:top w:val="single" w:color="auto" w:sz="4" w:space="0"/>
            </w:tcBorders>
            <w:vAlign w:val="center"/>
          </w:tcPr>
          <w:p>
            <w:pPr>
              <w:pStyle w:val="6"/>
              <w:spacing w:line="160" w:lineRule="atLeast"/>
              <w:jc w:val="center"/>
              <w:rPr>
                <w:rFonts w:hAnsi="宋体"/>
                <w:szCs w:val="21"/>
              </w:rPr>
            </w:pPr>
            <w:r>
              <w:rPr>
                <w:rFonts w:hint="eastAsia" w:hAnsi="宋体"/>
                <w:szCs w:val="21"/>
              </w:rPr>
              <w:t>30分</w:t>
            </w:r>
          </w:p>
        </w:tc>
        <w:tc>
          <w:tcPr>
            <w:tcW w:w="1849" w:type="dxa"/>
            <w:vMerge w:val="restart"/>
            <w:tcBorders>
              <w:top w:val="single" w:color="auto" w:sz="4" w:space="0"/>
              <w:bottom w:val="single" w:color="auto" w:sz="4" w:space="0"/>
            </w:tcBorders>
            <w:vAlign w:val="center"/>
          </w:tcPr>
          <w:p>
            <w:pPr>
              <w:pStyle w:val="6"/>
              <w:spacing w:line="160" w:lineRule="atLeast"/>
              <w:jc w:val="center"/>
              <w:rPr>
                <w:rFonts w:hAnsi="宋体"/>
                <w:szCs w:val="21"/>
              </w:rPr>
            </w:pPr>
            <w:r>
              <w:rPr>
                <w:rFonts w:hint="eastAsia" w:hAnsi="宋体"/>
                <w:szCs w:val="21"/>
              </w:rPr>
              <w:t>投标人业绩</w:t>
            </w:r>
          </w:p>
        </w:tc>
        <w:tc>
          <w:tcPr>
            <w:tcW w:w="636" w:type="dxa"/>
            <w:vMerge w:val="restart"/>
            <w:tcBorders>
              <w:top w:val="single" w:color="auto" w:sz="4" w:space="0"/>
              <w:bottom w:val="single" w:color="auto" w:sz="4" w:space="0"/>
            </w:tcBorders>
            <w:vAlign w:val="center"/>
          </w:tcPr>
          <w:p>
            <w:pPr>
              <w:pStyle w:val="6"/>
              <w:spacing w:line="160" w:lineRule="atLeast"/>
              <w:jc w:val="center"/>
              <w:rPr>
                <w:rFonts w:hAnsi="宋体"/>
                <w:szCs w:val="21"/>
              </w:rPr>
            </w:pPr>
            <w:r>
              <w:rPr>
                <w:rFonts w:hint="eastAsia" w:hAnsi="宋体"/>
                <w:szCs w:val="21"/>
              </w:rPr>
              <w:t>30分</w:t>
            </w:r>
          </w:p>
        </w:tc>
        <w:tc>
          <w:tcPr>
            <w:tcW w:w="4402" w:type="dxa"/>
            <w:tcBorders>
              <w:top w:val="single" w:color="auto" w:sz="4" w:space="0"/>
              <w:bottom w:val="single" w:color="auto" w:sz="4" w:space="0"/>
            </w:tcBorders>
            <w:vAlign w:val="center"/>
          </w:tcPr>
          <w:p>
            <w:pPr>
              <w:jc w:val="left"/>
              <w:rPr>
                <w:rFonts w:ascii="宋体" w:hAnsi="宋体"/>
                <w:szCs w:val="21"/>
              </w:rPr>
            </w:pPr>
            <w:r>
              <w:rPr>
                <w:rFonts w:hint="eastAsia" w:ascii="宋体" w:hAnsi="宋体"/>
                <w:szCs w:val="21"/>
              </w:rPr>
              <w:t>满足资格审查条件要求得18分；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8" w:type="dxa"/>
            <w:vMerge w:val="continue"/>
            <w:vAlign w:val="center"/>
          </w:tcPr>
          <w:p>
            <w:pPr>
              <w:pStyle w:val="6"/>
              <w:spacing w:line="160" w:lineRule="atLeast"/>
              <w:jc w:val="center"/>
              <w:rPr>
                <w:rFonts w:hAnsi="宋体"/>
                <w:szCs w:val="21"/>
              </w:rPr>
            </w:pPr>
          </w:p>
        </w:tc>
        <w:tc>
          <w:tcPr>
            <w:tcW w:w="670" w:type="dxa"/>
            <w:vMerge w:val="continue"/>
            <w:vAlign w:val="center"/>
          </w:tcPr>
          <w:p>
            <w:pPr>
              <w:pStyle w:val="6"/>
              <w:spacing w:line="160" w:lineRule="atLeast"/>
              <w:jc w:val="center"/>
              <w:rPr>
                <w:rFonts w:hAnsi="宋体"/>
                <w:szCs w:val="21"/>
              </w:rPr>
            </w:pPr>
          </w:p>
        </w:tc>
        <w:tc>
          <w:tcPr>
            <w:tcW w:w="755" w:type="dxa"/>
            <w:vMerge w:val="continue"/>
            <w:vAlign w:val="center"/>
          </w:tcPr>
          <w:p>
            <w:pPr>
              <w:pStyle w:val="6"/>
              <w:spacing w:line="160" w:lineRule="atLeast"/>
              <w:jc w:val="center"/>
              <w:rPr>
                <w:rFonts w:hAnsi="宋体"/>
                <w:szCs w:val="21"/>
              </w:rPr>
            </w:pPr>
          </w:p>
        </w:tc>
        <w:tc>
          <w:tcPr>
            <w:tcW w:w="1849" w:type="dxa"/>
            <w:vMerge w:val="continue"/>
            <w:tcBorders>
              <w:bottom w:val="single" w:color="auto" w:sz="4" w:space="0"/>
            </w:tcBorders>
            <w:vAlign w:val="center"/>
          </w:tcPr>
          <w:p>
            <w:pPr>
              <w:pStyle w:val="6"/>
              <w:spacing w:line="160" w:lineRule="atLeast"/>
              <w:jc w:val="center"/>
              <w:rPr>
                <w:rFonts w:hAnsi="宋体"/>
                <w:szCs w:val="21"/>
              </w:rPr>
            </w:pPr>
          </w:p>
        </w:tc>
        <w:tc>
          <w:tcPr>
            <w:tcW w:w="636" w:type="dxa"/>
            <w:vMerge w:val="continue"/>
            <w:tcBorders>
              <w:bottom w:val="single" w:color="auto" w:sz="4" w:space="0"/>
            </w:tcBorders>
            <w:vAlign w:val="center"/>
          </w:tcPr>
          <w:p>
            <w:pPr>
              <w:pStyle w:val="6"/>
              <w:spacing w:line="160" w:lineRule="atLeast"/>
              <w:jc w:val="center"/>
              <w:rPr>
                <w:rFonts w:hAnsi="宋体"/>
                <w:szCs w:val="21"/>
              </w:rPr>
            </w:pPr>
          </w:p>
        </w:tc>
        <w:tc>
          <w:tcPr>
            <w:tcW w:w="4402" w:type="dxa"/>
            <w:tcBorders>
              <w:top w:val="single" w:color="auto" w:sz="4" w:space="0"/>
              <w:bottom w:val="single" w:color="auto" w:sz="4" w:space="0"/>
            </w:tcBorders>
            <w:vAlign w:val="center"/>
          </w:tcPr>
          <w:p>
            <w:pPr>
              <w:jc w:val="left"/>
              <w:rPr>
                <w:rFonts w:ascii="宋体" w:hAnsi="宋体"/>
                <w:szCs w:val="21"/>
              </w:rPr>
            </w:pPr>
            <w:r>
              <w:rPr>
                <w:rFonts w:hint="eastAsia" w:ascii="宋体" w:hAnsi="宋体"/>
                <w:szCs w:val="21"/>
              </w:rPr>
              <w:t>每增加1项满足</w:t>
            </w:r>
            <w:r>
              <w:rPr>
                <w:rFonts w:hint="eastAsia" w:ascii="宋体" w:hAnsi="宋体" w:cs="宋体"/>
                <w:spacing w:val="1"/>
                <w:kern w:val="0"/>
                <w:szCs w:val="21"/>
              </w:rPr>
              <w:t>资</w:t>
            </w:r>
            <w:r>
              <w:rPr>
                <w:rFonts w:hint="eastAsia" w:ascii="宋体" w:hAnsi="宋体" w:cs="宋体"/>
                <w:kern w:val="0"/>
                <w:szCs w:val="21"/>
              </w:rPr>
              <w:t>格审查条件</w:t>
            </w:r>
            <w:r>
              <w:rPr>
                <w:rFonts w:ascii="宋体" w:hAnsi="宋体" w:cs="宋体"/>
                <w:kern w:val="0"/>
                <w:szCs w:val="21"/>
              </w:rPr>
              <w:t>(</w:t>
            </w:r>
            <w:r>
              <w:rPr>
                <w:rFonts w:hint="eastAsia" w:ascii="宋体" w:hAnsi="宋体" w:cs="宋体"/>
                <w:kern w:val="0"/>
                <w:szCs w:val="21"/>
              </w:rPr>
              <w:t>业绩最低要求</w:t>
            </w:r>
            <w:r>
              <w:rPr>
                <w:rFonts w:ascii="宋体" w:hAnsi="宋体" w:cs="宋体"/>
                <w:kern w:val="0"/>
                <w:szCs w:val="21"/>
              </w:rPr>
              <w:t>)</w:t>
            </w:r>
            <w:r>
              <w:rPr>
                <w:rFonts w:hint="eastAsia" w:ascii="宋体" w:hAnsi="宋体" w:cs="宋体"/>
                <w:kern w:val="0"/>
                <w:szCs w:val="21"/>
              </w:rPr>
              <w:t>的业绩</w:t>
            </w:r>
            <w:r>
              <w:rPr>
                <w:rFonts w:hint="eastAsia" w:ascii="宋体" w:hAnsi="宋体"/>
                <w:szCs w:val="21"/>
              </w:rPr>
              <w:t>加6分，本项最多加12分。</w:t>
            </w:r>
          </w:p>
        </w:tc>
      </w:tr>
    </w:tbl>
    <w:p>
      <w:pPr>
        <w:widowControl/>
        <w:jc w:val="left"/>
        <w:rPr>
          <w:rFonts w:hint="eastAsia" w:ascii="宋体" w:hAnsi="宋体"/>
          <w:b/>
          <w:bCs/>
          <w:sz w:val="28"/>
          <w:szCs w:val="28"/>
        </w:rPr>
      </w:pPr>
      <w:bookmarkStart w:id="0" w:name="_Hlk531337268"/>
      <w:r>
        <w:rPr>
          <w:rFonts w:ascii="宋体" w:hAnsi="宋体"/>
          <w:sz w:val="28"/>
          <w:szCs w:val="28"/>
        </w:rPr>
        <w:br w:type="page"/>
      </w:r>
      <w:bookmarkEnd w:id="0"/>
      <w:r>
        <w:rPr>
          <w:rFonts w:hint="eastAsia" w:ascii="宋体" w:hAnsi="宋体"/>
          <w:b/>
          <w:bCs/>
          <w:sz w:val="28"/>
          <w:szCs w:val="28"/>
        </w:rPr>
        <w:t>附件3：本项目施工单位、监理单位一览表</w:t>
      </w:r>
    </w:p>
    <w:p>
      <w:pPr>
        <w:pStyle w:val="2"/>
        <w:rPr>
          <w:lang w:val="en-US" w:eastAsia="zh-CN"/>
        </w:rPr>
      </w:pPr>
    </w:p>
    <w:tbl>
      <w:tblPr>
        <w:tblStyle w:val="7"/>
        <w:tblW w:w="8490" w:type="dxa"/>
        <w:jc w:val="center"/>
        <w:tblLayout w:type="fixed"/>
        <w:tblCellMar>
          <w:top w:w="0" w:type="dxa"/>
          <w:left w:w="0" w:type="dxa"/>
          <w:bottom w:w="0" w:type="dxa"/>
          <w:right w:w="0" w:type="dxa"/>
        </w:tblCellMar>
      </w:tblPr>
      <w:tblGrid>
        <w:gridCol w:w="2205"/>
        <w:gridCol w:w="3091"/>
        <w:gridCol w:w="3194"/>
      </w:tblGrid>
      <w:tr>
        <w:tblPrEx>
          <w:tblCellMar>
            <w:top w:w="0" w:type="dxa"/>
            <w:left w:w="0" w:type="dxa"/>
            <w:bottom w:w="0" w:type="dxa"/>
            <w:right w:w="0" w:type="dxa"/>
          </w:tblCellMar>
        </w:tblPrEx>
        <w:trPr>
          <w:trHeight w:val="600" w:hRule="atLeast"/>
          <w:jc w:val="center"/>
        </w:trPr>
        <w:tc>
          <w:tcPr>
            <w:tcW w:w="220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309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施工单位</w:t>
            </w:r>
          </w:p>
        </w:tc>
        <w:tc>
          <w:tcPr>
            <w:tcW w:w="319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监理单位</w:t>
            </w:r>
          </w:p>
        </w:tc>
      </w:tr>
      <w:tr>
        <w:tblPrEx>
          <w:tblCellMar>
            <w:top w:w="0" w:type="dxa"/>
            <w:left w:w="0" w:type="dxa"/>
            <w:bottom w:w="0" w:type="dxa"/>
            <w:right w:w="0" w:type="dxa"/>
          </w:tblCellMar>
        </w:tblPrEx>
        <w:trPr>
          <w:trHeight w:val="800" w:hRule="atLeast"/>
          <w:jc w:val="center"/>
        </w:trPr>
        <w:tc>
          <w:tcPr>
            <w:tcW w:w="22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2022年主线路面病害治理工程</w:t>
            </w:r>
          </w:p>
        </w:tc>
        <w:tc>
          <w:tcPr>
            <w:tcW w:w="309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河北高速公路集团有限公司养护分公司</w:t>
            </w:r>
          </w:p>
        </w:tc>
        <w:tc>
          <w:tcPr>
            <w:tcW w:w="319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szCs w:val="21"/>
              </w:rPr>
              <w:t>河北省公路工程技术咨询有限公司</w:t>
            </w:r>
          </w:p>
        </w:tc>
      </w:tr>
      <w:tr>
        <w:tblPrEx>
          <w:tblCellMar>
            <w:top w:w="0" w:type="dxa"/>
            <w:left w:w="0" w:type="dxa"/>
            <w:bottom w:w="0" w:type="dxa"/>
            <w:right w:w="0" w:type="dxa"/>
          </w:tblCellMar>
        </w:tblPrEx>
        <w:trPr>
          <w:trHeight w:val="800" w:hRule="atLeast"/>
          <w:jc w:val="center"/>
        </w:trPr>
        <w:tc>
          <w:tcPr>
            <w:tcW w:w="2205" w:type="dxa"/>
            <w:tcBorders>
              <w:top w:val="nil"/>
              <w:left w:val="single" w:color="000000" w:sz="8" w:space="0"/>
              <w:bottom w:val="single" w:color="000000" w:sz="8" w:space="0"/>
              <w:right w:val="single" w:color="000000" w:sz="8" w:space="0"/>
            </w:tcBorders>
            <w:tcMar>
              <w:top w:w="15" w:type="dxa"/>
              <w:left w:w="15" w:type="dxa"/>
              <w:right w:w="15" w:type="dxa"/>
            </w:tcMar>
          </w:tcPr>
          <w:p>
            <w:r>
              <w:rPr>
                <w:rFonts w:hint="eastAsia" w:ascii="宋体" w:hAnsi="宋体" w:cs="Arial"/>
                <w:szCs w:val="21"/>
              </w:rPr>
              <w:t>互通匝道及收费广场路面病害治理工程</w:t>
            </w:r>
          </w:p>
        </w:tc>
        <w:tc>
          <w:tcPr>
            <w:tcW w:w="309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河北高速公路集团有限公司养护分公司</w:t>
            </w:r>
          </w:p>
        </w:tc>
        <w:tc>
          <w:tcPr>
            <w:tcW w:w="319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szCs w:val="21"/>
              </w:rPr>
              <w:t>河北省公路工程技术咨询有限公司</w:t>
            </w:r>
          </w:p>
        </w:tc>
      </w:tr>
    </w:tbl>
    <w:p>
      <w:pPr>
        <w:widowControl/>
        <w:spacing w:before="100" w:beforeAutospacing="1" w:after="100" w:afterAutospacing="1" w:line="270" w:lineRule="atLeast"/>
        <w:rPr>
          <w:rFonts w:ascii="宋体" w:hAnsi="宋体" w:cs="宋体"/>
          <w:kern w:val="0"/>
          <w:sz w:val="24"/>
        </w:rPr>
      </w:pPr>
    </w:p>
    <w:p>
      <w:pPr>
        <w:adjustRightInd w:val="0"/>
        <w:spacing w:line="400" w:lineRule="exact"/>
        <w:jc w:val="left"/>
        <w:rPr>
          <w:rFonts w:ascii="宋体" w:hAnsi="宋体" w:cs="宋体"/>
          <w:b/>
          <w:spacing w:val="26"/>
          <w:kern w:val="0"/>
          <w:sz w:val="52"/>
          <w:szCs w:val="5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8A18EB"/>
    <w:rsid w:val="008A18EB"/>
    <w:rsid w:val="00D0050E"/>
    <w:rsid w:val="00E62FD2"/>
    <w:rsid w:val="7AEB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0"/>
    <w:pPr>
      <w:spacing w:line="360" w:lineRule="auto"/>
    </w:pPr>
    <w:rPr>
      <w:sz w:val="24"/>
      <w:szCs w:val="20"/>
    </w:rPr>
  </w:style>
  <w:style w:type="paragraph" w:styleId="3">
    <w:name w:val="Body Text 2"/>
    <w:basedOn w:val="1"/>
    <w:next w:val="1"/>
    <w:link w:val="11"/>
    <w:qFormat/>
    <w:uiPriority w:val="0"/>
    <w:pPr>
      <w:spacing w:after="120" w:line="480" w:lineRule="auto"/>
    </w:pPr>
  </w:style>
  <w:style w:type="paragraph" w:styleId="6">
    <w:name w:val="Plain Text"/>
    <w:basedOn w:val="1"/>
    <w:link w:val="16"/>
    <w:qFormat/>
    <w:uiPriority w:val="0"/>
    <w:rPr>
      <w:rFonts w:ascii="宋体" w:hAnsi="Courier New"/>
      <w:szCs w:val="20"/>
    </w:rPr>
  </w:style>
  <w:style w:type="character" w:customStyle="1" w:styleId="9">
    <w:name w:val="标题 2 Char"/>
    <w:basedOn w:val="8"/>
    <w:link w:val="4"/>
    <w:semiHidden/>
    <w:uiPriority w:val="9"/>
    <w:rPr>
      <w:rFonts w:asciiTheme="majorHAnsi" w:hAnsiTheme="majorHAnsi" w:eastAsiaTheme="majorEastAsia" w:cstheme="majorBidi"/>
      <w:b/>
      <w:bCs/>
      <w:sz w:val="32"/>
      <w:szCs w:val="32"/>
    </w:rPr>
  </w:style>
  <w:style w:type="character" w:customStyle="1" w:styleId="10">
    <w:name w:val="正文文本 Char"/>
    <w:basedOn w:val="8"/>
    <w:link w:val="2"/>
    <w:qFormat/>
    <w:uiPriority w:val="0"/>
    <w:rPr>
      <w:rFonts w:ascii="Times New Roman" w:hAnsi="Times New Roman" w:eastAsia="宋体" w:cs="Times New Roman"/>
      <w:sz w:val="24"/>
      <w:szCs w:val="20"/>
    </w:rPr>
  </w:style>
  <w:style w:type="character" w:customStyle="1" w:styleId="11">
    <w:name w:val="正文文本 2 Char"/>
    <w:basedOn w:val="8"/>
    <w:link w:val="3"/>
    <w:qFormat/>
    <w:uiPriority w:val="0"/>
    <w:rPr>
      <w:rFonts w:ascii="Times New Roman" w:hAnsi="Times New Roman" w:eastAsia="宋体" w:cs="Times New Roman"/>
      <w:szCs w:val="24"/>
    </w:rPr>
  </w:style>
  <w:style w:type="character" w:customStyle="1" w:styleId="12">
    <w:name w:val="纯文本 Char"/>
    <w:basedOn w:val="8"/>
    <w:link w:val="6"/>
    <w:semiHidden/>
    <w:uiPriority w:val="99"/>
    <w:rPr>
      <w:rFonts w:ascii="宋体" w:hAnsi="Courier New" w:eastAsia="宋体" w:cs="Courier New"/>
      <w:szCs w:val="21"/>
    </w:rPr>
  </w:style>
  <w:style w:type="character" w:customStyle="1" w:styleId="13">
    <w:name w:val="目录4 Char"/>
    <w:qFormat/>
    <w:uiPriority w:val="0"/>
    <w:rPr>
      <w:rFonts w:ascii="黑体" w:eastAsia="黑体"/>
      <w:kern w:val="2"/>
      <w:sz w:val="24"/>
      <w:szCs w:val="24"/>
      <w:lang w:val="en-US" w:eastAsia="zh-CN" w:bidi="ar-SA"/>
    </w:rPr>
  </w:style>
  <w:style w:type="character" w:customStyle="1" w:styleId="14">
    <w:name w:val="正文文本 (2)_"/>
    <w:link w:val="15"/>
    <w:qFormat/>
    <w:uiPriority w:val="0"/>
    <w:rPr>
      <w:rFonts w:ascii="宋体" w:hAnsi="宋体" w:cs="宋体"/>
      <w:sz w:val="22"/>
      <w:shd w:val="clear" w:color="auto" w:fill="FFFFFF"/>
    </w:rPr>
  </w:style>
  <w:style w:type="paragraph" w:customStyle="1" w:styleId="15">
    <w:name w:val="正文文本 (2)"/>
    <w:basedOn w:val="1"/>
    <w:link w:val="14"/>
    <w:qFormat/>
    <w:uiPriority w:val="0"/>
    <w:pPr>
      <w:shd w:val="clear" w:color="auto" w:fill="FFFFFF"/>
      <w:spacing w:before="300" w:line="439" w:lineRule="exact"/>
      <w:jc w:val="distribute"/>
    </w:pPr>
    <w:rPr>
      <w:rFonts w:ascii="宋体" w:hAnsi="宋体" w:cs="宋体" w:eastAsiaTheme="minorEastAsia"/>
      <w:sz w:val="22"/>
      <w:szCs w:val="22"/>
    </w:rPr>
  </w:style>
  <w:style w:type="character" w:customStyle="1" w:styleId="16">
    <w:name w:val="纯文本 Char2"/>
    <w:link w:val="6"/>
    <w:qFormat/>
    <w:uiPriority w:val="0"/>
    <w:rPr>
      <w:rFonts w:ascii="宋体" w:hAnsi="Courier New" w:eastAsia="宋体" w:cs="Times New Roman"/>
      <w:szCs w:val="20"/>
    </w:rPr>
  </w:style>
  <w:style w:type="character" w:customStyle="1" w:styleId="17">
    <w:name w:val="标题 2 Char1"/>
    <w:link w:val="4"/>
    <w:qFormat/>
    <w:locked/>
    <w:uiPriority w:val="0"/>
    <w:rPr>
      <w:rFonts w:ascii="Arial" w:hAnsi="Arial" w:eastAsia="黑体" w:cs="Times New Roman"/>
      <w:b/>
      <w:bCs/>
      <w:sz w:val="32"/>
      <w:szCs w:val="32"/>
    </w:rPr>
  </w:style>
  <w:style w:type="paragraph" w:customStyle="1" w:styleId="18">
    <w:name w:val="样式25"/>
    <w:basedOn w:val="1"/>
    <w:qFormat/>
    <w:uiPriority w:val="0"/>
    <w:pPr>
      <w:keepNext/>
      <w:keepLines/>
      <w:spacing w:line="360" w:lineRule="auto"/>
      <w:ind w:firstLine="200" w:firstLineChars="200"/>
      <w:outlineLvl w:val="2"/>
    </w:pPr>
    <w:rPr>
      <w:b/>
      <w:bCs/>
      <w:kern w:val="28"/>
      <w:sz w:val="24"/>
      <w:szCs w:val="32"/>
    </w:rPr>
  </w:style>
  <w:style w:type="paragraph" w:customStyle="1" w:styleId="19">
    <w:name w:val="样式124"/>
    <w:basedOn w:val="5"/>
    <w:qFormat/>
    <w:uiPriority w:val="0"/>
    <w:pPr>
      <w:spacing w:before="0" w:after="0" w:line="360" w:lineRule="auto"/>
      <w:ind w:firstLine="200" w:firstLineChars="200"/>
    </w:pPr>
    <w:rPr>
      <w:kern w:val="28"/>
      <w:sz w:val="24"/>
    </w:rPr>
  </w:style>
  <w:style w:type="paragraph" w:customStyle="1" w:styleId="20">
    <w:name w:val="样式27"/>
    <w:basedOn w:val="5"/>
    <w:qFormat/>
    <w:uiPriority w:val="0"/>
    <w:pPr>
      <w:spacing w:before="0" w:after="0" w:line="360" w:lineRule="auto"/>
      <w:ind w:firstLine="200" w:firstLineChars="200"/>
    </w:pPr>
    <w:rPr>
      <w:kern w:val="28"/>
      <w:sz w:val="24"/>
    </w:rPr>
  </w:style>
  <w:style w:type="character" w:customStyle="1" w:styleId="21">
    <w:name w:val="标题 3 Char"/>
    <w:basedOn w:val="8"/>
    <w:link w:val="5"/>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5477</Words>
  <Characters>5950</Characters>
  <Lines>45</Lines>
  <Paragraphs>12</Paragraphs>
  <TotalTime>1</TotalTime>
  <ScaleCrop>false</ScaleCrop>
  <LinksUpToDate>false</LinksUpToDate>
  <CharactersWithSpaces>5998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2022-10-26T01:39:00Z</dcterms:created>
  <dc:creator>Administrator</dc:creator>
  <cp:lastModifiedBy>招标管理办公室</cp:lastModifiedBy>
  <dcterms:modified xsi:type="dcterms:W3CDTF">2022-10-26T01:59:38Z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4B3CEDDE001D421997A3A09CC450EFB7</vt:lpwstr>
  </property>
</Properties>
</file>